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05" w:rsidRPr="00E678CF" w:rsidRDefault="00675E7E" w:rsidP="00177805">
      <w:pPr>
        <w:spacing w:before="60" w:after="0"/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 xml:space="preserve">2. </w:t>
      </w:r>
      <w:r w:rsidR="00177805" w:rsidRPr="00E678CF">
        <w:rPr>
          <w:rFonts w:ascii="Times New Roman" w:eastAsia="Times New Roman" w:hAnsi="Times New Roman" w:cstheme="minorHAnsi"/>
          <w:b/>
          <w:sz w:val="28"/>
          <w:szCs w:val="28"/>
          <w:lang w:eastAsia="pl-PL"/>
        </w:rPr>
        <w:t>OSOBY W WIEKU 50-69 LAT NA RYNKU PRACY</w:t>
      </w:r>
    </w:p>
    <w:p w:rsidR="00177805" w:rsidRPr="00177805" w:rsidRDefault="00177805" w:rsidP="00177805">
      <w:pPr>
        <w:spacing w:before="60"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77805" w:rsidRPr="00177805" w:rsidRDefault="00177805" w:rsidP="0017780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90590" w:rsidRDefault="00536402" w:rsidP="00E678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0FA">
        <w:rPr>
          <w:rFonts w:ascii="Times New Roman" w:hAnsi="Times New Roman" w:cs="Times New Roman"/>
          <w:sz w:val="24"/>
          <w:szCs w:val="24"/>
        </w:rPr>
        <w:t xml:space="preserve">Jednym z procesów demograficznych obserwowanych we współczesnych, rozwiniętych i rozwijających się krajach cywilizacji zachodnioeuropejskiej jest starzenie się </w:t>
      </w:r>
      <w:r w:rsidR="006A0606">
        <w:rPr>
          <w:rFonts w:ascii="Times New Roman" w:hAnsi="Times New Roman" w:cs="Times New Roman"/>
          <w:sz w:val="24"/>
          <w:szCs w:val="24"/>
        </w:rPr>
        <w:t>ludności</w:t>
      </w:r>
      <w:r w:rsidRPr="000850FA">
        <w:rPr>
          <w:rFonts w:ascii="Times New Roman" w:hAnsi="Times New Roman" w:cs="Times New Roman"/>
          <w:sz w:val="24"/>
          <w:szCs w:val="24"/>
        </w:rPr>
        <w:t xml:space="preserve">. Zjawisko </w:t>
      </w:r>
      <w:r w:rsidR="005F512F">
        <w:rPr>
          <w:rFonts w:ascii="Times New Roman" w:hAnsi="Times New Roman" w:cs="Times New Roman"/>
          <w:sz w:val="24"/>
          <w:szCs w:val="24"/>
        </w:rPr>
        <w:t xml:space="preserve">to </w:t>
      </w:r>
      <w:r w:rsidRPr="000850FA">
        <w:rPr>
          <w:rFonts w:ascii="Times New Roman" w:hAnsi="Times New Roman" w:cs="Times New Roman"/>
          <w:sz w:val="24"/>
          <w:szCs w:val="24"/>
        </w:rPr>
        <w:t>związane jest ze wzrastającą przeciętną długością życia i niskim wskaźnikiem urodzeń</w:t>
      </w:r>
      <w:r w:rsidR="00070960">
        <w:rPr>
          <w:rFonts w:ascii="Times New Roman" w:hAnsi="Times New Roman" w:cs="Times New Roman"/>
          <w:sz w:val="24"/>
          <w:szCs w:val="24"/>
        </w:rPr>
        <w:t>,</w:t>
      </w:r>
      <w:r w:rsidRPr="000850FA">
        <w:rPr>
          <w:rFonts w:ascii="Times New Roman" w:hAnsi="Times New Roman" w:cs="Times New Roman"/>
          <w:sz w:val="24"/>
          <w:szCs w:val="24"/>
        </w:rPr>
        <w:t xml:space="preserve"> co w konsekwencji powoduje zmi</w:t>
      </w:r>
      <w:r w:rsidR="00070960">
        <w:rPr>
          <w:rFonts w:ascii="Times New Roman" w:hAnsi="Times New Roman" w:cs="Times New Roman"/>
          <w:sz w:val="24"/>
          <w:szCs w:val="24"/>
        </w:rPr>
        <w:t>anę struktury demograficznej.</w:t>
      </w:r>
      <w:r w:rsidRPr="000850FA">
        <w:rPr>
          <w:rFonts w:ascii="Times New Roman" w:hAnsi="Times New Roman" w:cs="Times New Roman"/>
          <w:sz w:val="24"/>
          <w:szCs w:val="24"/>
        </w:rPr>
        <w:t xml:space="preserve"> </w:t>
      </w:r>
      <w:r w:rsidR="00070960">
        <w:rPr>
          <w:rFonts w:ascii="Times New Roman" w:hAnsi="Times New Roman" w:cs="Times New Roman"/>
          <w:sz w:val="24"/>
          <w:szCs w:val="24"/>
        </w:rPr>
        <w:t>U</w:t>
      </w:r>
      <w:r w:rsidRPr="000850FA">
        <w:rPr>
          <w:rFonts w:ascii="Times New Roman" w:hAnsi="Times New Roman" w:cs="Times New Roman"/>
          <w:sz w:val="24"/>
          <w:szCs w:val="24"/>
        </w:rPr>
        <w:t>dział osób młodych w populacji zmniejsza się na rzecz osób starszych. Takie z</w:t>
      </w:r>
      <w:r w:rsidR="00070960">
        <w:rPr>
          <w:rFonts w:ascii="Times New Roman" w:hAnsi="Times New Roman" w:cs="Times New Roman"/>
          <w:sz w:val="24"/>
          <w:szCs w:val="24"/>
        </w:rPr>
        <w:t>miany zachodzą również w Polsce. P</w:t>
      </w:r>
      <w:r w:rsidRPr="000850FA">
        <w:rPr>
          <w:rFonts w:ascii="Times New Roman" w:hAnsi="Times New Roman" w:cs="Times New Roman"/>
          <w:sz w:val="24"/>
          <w:szCs w:val="24"/>
        </w:rPr>
        <w:t>rognozy na rok 2035 przewidują wzrost u</w:t>
      </w:r>
      <w:r w:rsidR="00391CDD">
        <w:rPr>
          <w:rFonts w:ascii="Times New Roman" w:hAnsi="Times New Roman" w:cs="Times New Roman"/>
          <w:sz w:val="24"/>
          <w:szCs w:val="24"/>
        </w:rPr>
        <w:t xml:space="preserve">działu </w:t>
      </w:r>
      <w:r w:rsidR="00C90590">
        <w:rPr>
          <w:rFonts w:ascii="Times New Roman" w:hAnsi="Times New Roman" w:cs="Times New Roman"/>
          <w:sz w:val="24"/>
          <w:szCs w:val="24"/>
        </w:rPr>
        <w:t>osób powyżej 50 roku życia</w:t>
      </w:r>
      <w:r w:rsidR="00391CDD">
        <w:rPr>
          <w:rFonts w:ascii="Times New Roman" w:hAnsi="Times New Roman" w:cs="Times New Roman"/>
          <w:sz w:val="24"/>
          <w:szCs w:val="24"/>
        </w:rPr>
        <w:t xml:space="preserve"> w populacji do </w:t>
      </w:r>
      <w:r w:rsidRPr="00260448">
        <w:rPr>
          <w:rFonts w:ascii="Times New Roman" w:hAnsi="Times New Roman" w:cs="Times New Roman"/>
          <w:sz w:val="24"/>
          <w:szCs w:val="24"/>
        </w:rPr>
        <w:t>przeszło 46%</w:t>
      </w:r>
      <w:r w:rsidR="009A685B" w:rsidRPr="0026044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260448">
        <w:rPr>
          <w:rFonts w:ascii="Times New Roman" w:hAnsi="Times New Roman" w:cs="Times New Roman"/>
          <w:sz w:val="24"/>
          <w:szCs w:val="24"/>
        </w:rPr>
        <w:t>. Wzrastający</w:t>
      </w:r>
      <w:r w:rsidRPr="000850FA">
        <w:rPr>
          <w:rFonts w:ascii="Times New Roman" w:hAnsi="Times New Roman" w:cs="Times New Roman"/>
          <w:sz w:val="24"/>
          <w:szCs w:val="24"/>
        </w:rPr>
        <w:t xml:space="preserve"> odsetek osób starszych w społeczeństwie niesie ze sobą szereg konsekwencji gospodarczych, społecznych, socjalnych i kulturowych. Malejąca podaż pracy, rosnące obciążenie systemu emerytalnego i opieki zdrowotnej, dostosowywanie technologii do potrzeb i możliwości osób starszych to przykłady zachodzących zmian. W celu eliminacji możliwych problemów, stymulowania osób starszych do pozostania na rynku pracy, dostosowywania syste</w:t>
      </w:r>
      <w:r w:rsidR="00C90590">
        <w:rPr>
          <w:rFonts w:ascii="Times New Roman" w:hAnsi="Times New Roman" w:cs="Times New Roman"/>
          <w:sz w:val="24"/>
          <w:szCs w:val="24"/>
        </w:rPr>
        <w:t>mu socjalnego do zaistniałych i </w:t>
      </w:r>
      <w:r w:rsidRPr="000850FA">
        <w:rPr>
          <w:rFonts w:ascii="Times New Roman" w:hAnsi="Times New Roman" w:cs="Times New Roman"/>
          <w:sz w:val="24"/>
          <w:szCs w:val="24"/>
        </w:rPr>
        <w:t xml:space="preserve">nadchodzących zmian konieczne jest monitorowanie i analizowanie </w:t>
      </w:r>
      <w:r>
        <w:rPr>
          <w:rFonts w:ascii="Times New Roman" w:hAnsi="Times New Roman" w:cs="Times New Roman"/>
          <w:sz w:val="24"/>
          <w:szCs w:val="24"/>
        </w:rPr>
        <w:t xml:space="preserve">sytuacji osób </w:t>
      </w:r>
      <w:r w:rsidR="00FE1212">
        <w:rPr>
          <w:rFonts w:ascii="Times New Roman" w:hAnsi="Times New Roman" w:cs="Times New Roman"/>
          <w:sz w:val="24"/>
          <w:szCs w:val="24"/>
        </w:rPr>
        <w:t>starszych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6402" w:rsidRDefault="00C90590" w:rsidP="00C905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względu na </w:t>
      </w:r>
      <w:r w:rsidR="006B695F">
        <w:rPr>
          <w:rFonts w:ascii="Times New Roman" w:hAnsi="Times New Roman" w:cs="Times New Roman"/>
          <w:sz w:val="24"/>
          <w:szCs w:val="24"/>
        </w:rPr>
        <w:t>marginalną obecność</w:t>
      </w:r>
      <w:r>
        <w:rPr>
          <w:rFonts w:ascii="Times New Roman" w:hAnsi="Times New Roman" w:cs="Times New Roman"/>
          <w:sz w:val="24"/>
          <w:szCs w:val="24"/>
        </w:rPr>
        <w:t xml:space="preserve"> osób w wieku 70 lat i więcej</w:t>
      </w:r>
      <w:r w:rsidR="006B695F">
        <w:rPr>
          <w:rFonts w:ascii="Times New Roman" w:hAnsi="Times New Roman" w:cs="Times New Roman"/>
          <w:sz w:val="24"/>
          <w:szCs w:val="24"/>
        </w:rPr>
        <w:t xml:space="preserve"> na rynku pracy</w:t>
      </w:r>
      <w:r w:rsidR="006B695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6B695F">
        <w:rPr>
          <w:rFonts w:ascii="Times New Roman" w:hAnsi="Times New Roman" w:cs="Times New Roman"/>
          <w:sz w:val="24"/>
          <w:szCs w:val="24"/>
        </w:rPr>
        <w:t xml:space="preserve"> </w:t>
      </w:r>
      <w:r w:rsidR="00865A1C">
        <w:rPr>
          <w:rFonts w:ascii="Times New Roman" w:hAnsi="Times New Roman" w:cs="Times New Roman"/>
          <w:sz w:val="24"/>
          <w:szCs w:val="24"/>
        </w:rPr>
        <w:t>w </w:t>
      </w:r>
      <w:r>
        <w:rPr>
          <w:rFonts w:ascii="Times New Roman" w:hAnsi="Times New Roman" w:cs="Times New Roman"/>
          <w:sz w:val="24"/>
          <w:szCs w:val="24"/>
        </w:rPr>
        <w:t xml:space="preserve">niniejszym opracowaniu </w:t>
      </w:r>
      <w:r w:rsidR="006B695F">
        <w:rPr>
          <w:rFonts w:ascii="Times New Roman" w:hAnsi="Times New Roman" w:cs="Times New Roman"/>
          <w:sz w:val="24"/>
          <w:szCs w:val="24"/>
        </w:rPr>
        <w:t>zaprezentowano sytuację</w:t>
      </w:r>
      <w:r>
        <w:rPr>
          <w:rFonts w:ascii="Times New Roman" w:hAnsi="Times New Roman" w:cs="Times New Roman"/>
          <w:sz w:val="24"/>
          <w:szCs w:val="24"/>
        </w:rPr>
        <w:t xml:space="preserve"> osób w wieku </w:t>
      </w:r>
      <w:r w:rsidR="00DE56EC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DE56EC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69 lat.</w:t>
      </w:r>
    </w:p>
    <w:p w:rsidR="005F512F" w:rsidRPr="00E678CF" w:rsidRDefault="00675E7E" w:rsidP="006C6E0F">
      <w:pPr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6A060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F512F" w:rsidRPr="00E678CF">
        <w:rPr>
          <w:rFonts w:ascii="Times New Roman" w:hAnsi="Times New Roman" w:cs="Times New Roman"/>
          <w:b/>
          <w:sz w:val="28"/>
          <w:szCs w:val="28"/>
        </w:rPr>
        <w:t>Aktywność ekonomiczna ludności w wieku 50-69 lat</w:t>
      </w:r>
    </w:p>
    <w:p w:rsidR="00987021" w:rsidRDefault="00F00D95" w:rsidP="00E67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E03">
        <w:rPr>
          <w:rFonts w:ascii="Times New Roman" w:hAnsi="Times New Roman" w:cs="Times New Roman"/>
          <w:sz w:val="24"/>
          <w:szCs w:val="24"/>
        </w:rPr>
        <w:t xml:space="preserve">Według wyników spisu powszechnego </w:t>
      </w:r>
      <w:r w:rsidR="00FE1212">
        <w:rPr>
          <w:rFonts w:ascii="Times New Roman" w:hAnsi="Times New Roman" w:cs="Times New Roman"/>
          <w:sz w:val="24"/>
          <w:szCs w:val="24"/>
        </w:rPr>
        <w:t xml:space="preserve">przeprowadzonego w </w:t>
      </w:r>
      <w:r w:rsidRPr="00FD6E03">
        <w:rPr>
          <w:rFonts w:ascii="Times New Roman" w:hAnsi="Times New Roman" w:cs="Times New Roman"/>
          <w:sz w:val="24"/>
          <w:szCs w:val="24"/>
        </w:rPr>
        <w:t>2011</w:t>
      </w:r>
      <w:r w:rsidR="00FE1212">
        <w:rPr>
          <w:rFonts w:ascii="Times New Roman" w:hAnsi="Times New Roman" w:cs="Times New Roman"/>
          <w:sz w:val="24"/>
          <w:szCs w:val="24"/>
        </w:rPr>
        <w:t xml:space="preserve"> roku</w:t>
      </w:r>
      <w:r w:rsidRPr="00FD6E03">
        <w:rPr>
          <w:rFonts w:ascii="Times New Roman" w:hAnsi="Times New Roman" w:cs="Times New Roman"/>
          <w:sz w:val="24"/>
          <w:szCs w:val="24"/>
        </w:rPr>
        <w:t xml:space="preserve"> l</w:t>
      </w:r>
      <w:r w:rsidR="003D764A" w:rsidRPr="00FD6E03">
        <w:rPr>
          <w:rFonts w:ascii="Times New Roman" w:hAnsi="Times New Roman" w:cs="Times New Roman"/>
          <w:sz w:val="24"/>
          <w:szCs w:val="24"/>
        </w:rPr>
        <w:t xml:space="preserve">udność </w:t>
      </w:r>
      <w:r w:rsidR="00FE1212">
        <w:rPr>
          <w:rFonts w:ascii="Times New Roman" w:hAnsi="Times New Roman" w:cs="Times New Roman"/>
          <w:sz w:val="24"/>
          <w:szCs w:val="24"/>
        </w:rPr>
        <w:t>w </w:t>
      </w:r>
      <w:r w:rsidR="005708E2" w:rsidRPr="00FD6E03">
        <w:rPr>
          <w:rFonts w:ascii="Times New Roman" w:hAnsi="Times New Roman" w:cs="Times New Roman"/>
          <w:sz w:val="24"/>
          <w:szCs w:val="24"/>
        </w:rPr>
        <w:t>wieku 50</w:t>
      </w:r>
      <w:r w:rsidR="003D764A" w:rsidRPr="00FD6E03">
        <w:rPr>
          <w:rFonts w:ascii="Times New Roman" w:hAnsi="Times New Roman" w:cs="Times New Roman"/>
          <w:sz w:val="24"/>
          <w:szCs w:val="24"/>
        </w:rPr>
        <w:t>-69 lat liczy</w:t>
      </w:r>
      <w:r w:rsidR="00E620B7" w:rsidRPr="00FD6E03">
        <w:rPr>
          <w:rFonts w:ascii="Times New Roman" w:hAnsi="Times New Roman" w:cs="Times New Roman"/>
          <w:sz w:val="24"/>
          <w:szCs w:val="24"/>
        </w:rPr>
        <w:t>ła</w:t>
      </w:r>
      <w:r w:rsidR="003D764A" w:rsidRPr="00FD6E03">
        <w:rPr>
          <w:rFonts w:ascii="Times New Roman" w:hAnsi="Times New Roman" w:cs="Times New Roman"/>
          <w:sz w:val="24"/>
          <w:szCs w:val="24"/>
        </w:rPr>
        <w:t xml:space="preserve"> </w:t>
      </w:r>
      <w:r w:rsidR="003D764A" w:rsidRPr="000274B4">
        <w:rPr>
          <w:rFonts w:ascii="Times New Roman" w:hAnsi="Times New Roman" w:cs="Times New Roman"/>
          <w:sz w:val="24"/>
          <w:szCs w:val="24"/>
        </w:rPr>
        <w:t>9</w:t>
      </w:r>
      <w:r w:rsidR="00FE1212" w:rsidRPr="000274B4">
        <w:rPr>
          <w:rFonts w:ascii="Times New Roman" w:hAnsi="Times New Roman" w:cs="Times New Roman"/>
          <w:sz w:val="24"/>
          <w:szCs w:val="24"/>
        </w:rPr>
        <w:t> 592,0</w:t>
      </w:r>
      <w:r w:rsidR="00FE1212">
        <w:rPr>
          <w:rFonts w:ascii="Times New Roman" w:hAnsi="Times New Roman" w:cs="Times New Roman"/>
          <w:sz w:val="24"/>
          <w:szCs w:val="24"/>
        </w:rPr>
        <w:t xml:space="preserve"> tys. osób tj. 29,4</w:t>
      </w:r>
      <w:r w:rsidR="003D764A" w:rsidRPr="00FD6E03">
        <w:rPr>
          <w:rFonts w:ascii="Times New Roman" w:hAnsi="Times New Roman" w:cs="Times New Roman"/>
          <w:sz w:val="24"/>
          <w:szCs w:val="24"/>
        </w:rPr>
        <w:t>% ogółu ludności w wieku 15 lat i więcej.</w:t>
      </w:r>
      <w:r w:rsidR="00E620B7" w:rsidRPr="00FD6E03">
        <w:rPr>
          <w:rFonts w:ascii="Times New Roman" w:hAnsi="Times New Roman" w:cs="Times New Roman"/>
          <w:sz w:val="24"/>
          <w:szCs w:val="24"/>
        </w:rPr>
        <w:t xml:space="preserve"> Najliczniejszą grupę w tym przedziale wiekowym stanowili bierni zawodowo – 5 085,1 tys. osób. Mniejsza liczebnie – o ponad milion dwieście ty</w:t>
      </w:r>
      <w:r w:rsidR="00FE1212">
        <w:rPr>
          <w:rFonts w:ascii="Times New Roman" w:hAnsi="Times New Roman" w:cs="Times New Roman"/>
          <w:sz w:val="24"/>
          <w:szCs w:val="24"/>
        </w:rPr>
        <w:t>sięcy osób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="00FE1212">
        <w:rPr>
          <w:rFonts w:ascii="Times New Roman" w:hAnsi="Times New Roman" w:cs="Times New Roman"/>
          <w:sz w:val="24"/>
          <w:szCs w:val="24"/>
        </w:rPr>
        <w:t xml:space="preserve">była </w:t>
      </w:r>
      <w:proofErr w:type="spellStart"/>
      <w:r w:rsidR="00FE1212">
        <w:rPr>
          <w:rFonts w:ascii="Times New Roman" w:hAnsi="Times New Roman" w:cs="Times New Roman"/>
          <w:sz w:val="24"/>
          <w:szCs w:val="24"/>
        </w:rPr>
        <w:t>subpopulacja</w:t>
      </w:r>
      <w:proofErr w:type="spellEnd"/>
      <w:r w:rsidR="00FE1212">
        <w:rPr>
          <w:rFonts w:ascii="Times New Roman" w:hAnsi="Times New Roman" w:cs="Times New Roman"/>
          <w:sz w:val="24"/>
          <w:szCs w:val="24"/>
        </w:rPr>
        <w:t xml:space="preserve"> pracujących.</w:t>
      </w:r>
      <w:r w:rsidR="00787861" w:rsidRPr="00FD6E03">
        <w:rPr>
          <w:rFonts w:ascii="Times New Roman" w:hAnsi="Times New Roman" w:cs="Times New Roman"/>
          <w:sz w:val="24"/>
          <w:szCs w:val="24"/>
        </w:rPr>
        <w:t xml:space="preserve"> Natomiast najmniej liczną grupą w tym przedziale wiekowym były osoby bezrobotne – 411,8 tys. osób.</w:t>
      </w:r>
      <w:r w:rsidR="00067284" w:rsidRPr="00FD6E03">
        <w:rPr>
          <w:rFonts w:ascii="Times New Roman" w:hAnsi="Times New Roman" w:cs="Times New Roman"/>
          <w:sz w:val="24"/>
          <w:szCs w:val="24"/>
        </w:rPr>
        <w:t xml:space="preserve"> </w:t>
      </w:r>
      <w:r w:rsidR="00544558" w:rsidRPr="00FD6E03">
        <w:rPr>
          <w:rFonts w:ascii="Times New Roman" w:hAnsi="Times New Roman" w:cs="Times New Roman"/>
          <w:sz w:val="24"/>
          <w:szCs w:val="24"/>
        </w:rPr>
        <w:t xml:space="preserve">Dla 285,2 tys. osób nie uzyskano informacji o statusie na rynku pracy. </w:t>
      </w:r>
    </w:p>
    <w:p w:rsidR="001036BF" w:rsidRPr="00FD6E03" w:rsidRDefault="00893AFC" w:rsidP="00E678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E03">
        <w:rPr>
          <w:rFonts w:ascii="Times New Roman" w:hAnsi="Times New Roman" w:cs="Times New Roman"/>
          <w:sz w:val="24"/>
          <w:szCs w:val="24"/>
        </w:rPr>
        <w:t xml:space="preserve">Wśród mężczyzn w wieku 50-69 lat większość to osoby pracujące, natomiast wśród kobiet bierne zawodowo. Mieszkańcy miast i wsi nie różnili się w sposób znaczący pod względem struktury według </w:t>
      </w:r>
      <w:r w:rsidR="005F512F">
        <w:rPr>
          <w:rFonts w:ascii="Times New Roman" w:hAnsi="Times New Roman" w:cs="Times New Roman"/>
          <w:sz w:val="24"/>
          <w:szCs w:val="24"/>
        </w:rPr>
        <w:t xml:space="preserve">typu </w:t>
      </w:r>
      <w:r w:rsidRPr="00FD6E03">
        <w:rPr>
          <w:rFonts w:ascii="Times New Roman" w:hAnsi="Times New Roman" w:cs="Times New Roman"/>
          <w:sz w:val="24"/>
          <w:szCs w:val="24"/>
        </w:rPr>
        <w:t>aktywności ekonomicznej, przy czym wśród mieszkańców wsi nieznacznie więcej było osób pracujących</w:t>
      </w:r>
      <w:r w:rsidR="005F512F">
        <w:rPr>
          <w:rFonts w:ascii="Times New Roman" w:hAnsi="Times New Roman" w:cs="Times New Roman"/>
          <w:sz w:val="24"/>
          <w:szCs w:val="24"/>
        </w:rPr>
        <w:t>,</w:t>
      </w:r>
      <w:r w:rsidRPr="00FD6E03">
        <w:rPr>
          <w:rFonts w:ascii="Times New Roman" w:hAnsi="Times New Roman" w:cs="Times New Roman"/>
          <w:sz w:val="24"/>
          <w:szCs w:val="24"/>
        </w:rPr>
        <w:t xml:space="preserve"> a wśród mieszkańców miast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Pr="00FD6E03">
        <w:rPr>
          <w:rFonts w:ascii="Times New Roman" w:hAnsi="Times New Roman" w:cs="Times New Roman"/>
          <w:sz w:val="24"/>
          <w:szCs w:val="24"/>
        </w:rPr>
        <w:t>biernych zawodowo.</w:t>
      </w:r>
    </w:p>
    <w:p w:rsidR="003B1036" w:rsidRPr="00E678CF" w:rsidRDefault="00BC280A" w:rsidP="00BC280A">
      <w:pPr>
        <w:pStyle w:val="Legenda"/>
        <w:rPr>
          <w:rFonts w:ascii="Times New Roman" w:hAnsi="Times New Roman" w:cs="Times New Roman"/>
          <w:color w:val="auto"/>
          <w:sz w:val="20"/>
          <w:szCs w:val="22"/>
        </w:rPr>
      </w:pPr>
      <w:r w:rsidRPr="00E678CF">
        <w:rPr>
          <w:rFonts w:ascii="Times New Roman" w:hAnsi="Times New Roman" w:cs="Times New Roman"/>
          <w:color w:val="auto"/>
          <w:sz w:val="20"/>
          <w:szCs w:val="22"/>
        </w:rPr>
        <w:lastRenderedPageBreak/>
        <w:t xml:space="preserve">Wykres 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2.1</w:t>
      </w:r>
      <w:r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BD2157" w:rsidRPr="00E678CF">
        <w:rPr>
          <w:rFonts w:ascii="Times New Roman" w:hAnsi="Times New Roman" w:cs="Times New Roman"/>
          <w:color w:val="auto"/>
          <w:sz w:val="20"/>
          <w:szCs w:val="22"/>
        </w:rPr>
        <w:t>Struk</w:t>
      </w:r>
      <w:r w:rsidR="000C3640"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tura ludności </w:t>
      </w:r>
      <w:r w:rsidR="00FE1212" w:rsidRPr="00E678CF">
        <w:rPr>
          <w:rFonts w:ascii="Times New Roman" w:hAnsi="Times New Roman" w:cs="Times New Roman"/>
          <w:color w:val="auto"/>
          <w:sz w:val="20"/>
          <w:szCs w:val="22"/>
        </w:rPr>
        <w:t>według statusu na rynku pracy</w:t>
      </w:r>
    </w:p>
    <w:p w:rsidR="003B1036" w:rsidRPr="00652A36" w:rsidRDefault="000C3640" w:rsidP="00C45BB9">
      <w:pPr>
        <w:spacing w:line="360" w:lineRule="auto"/>
        <w:jc w:val="both"/>
        <w:rPr>
          <w:sz w:val="24"/>
          <w:szCs w:val="24"/>
        </w:rPr>
      </w:pPr>
      <w:r w:rsidRPr="000C3640">
        <w:rPr>
          <w:noProof/>
          <w:sz w:val="24"/>
          <w:szCs w:val="24"/>
          <w:lang w:eastAsia="pl-PL"/>
        </w:rPr>
        <w:drawing>
          <wp:inline distT="0" distB="0" distL="0" distR="0">
            <wp:extent cx="5743575" cy="2305050"/>
            <wp:effectExtent l="19050" t="0" r="0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460DA" w:rsidRPr="00E678CF" w:rsidRDefault="00BC280A" w:rsidP="00BC280A">
      <w:pPr>
        <w:pStyle w:val="Legenda"/>
        <w:keepNext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1E05EB">
        <w:rPr>
          <w:rFonts w:ascii="Times New Roman" w:hAnsi="Times New Roman" w:cs="Times New Roman"/>
          <w:color w:val="auto"/>
          <w:sz w:val="20"/>
          <w:szCs w:val="22"/>
        </w:rPr>
        <w:t>2.1</w:t>
      </w:r>
      <w:r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544558" w:rsidRPr="00E678CF">
        <w:rPr>
          <w:rFonts w:ascii="Times New Roman" w:hAnsi="Times New Roman" w:cs="Times New Roman"/>
          <w:color w:val="auto"/>
          <w:sz w:val="20"/>
          <w:szCs w:val="22"/>
        </w:rPr>
        <w:t>Struktura ludności w wieku 50-69 lat według płci i miejsca zamieszkania</w:t>
      </w: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480"/>
        <w:gridCol w:w="1187"/>
        <w:gridCol w:w="973"/>
        <w:gridCol w:w="1185"/>
        <w:gridCol w:w="992"/>
        <w:gridCol w:w="1418"/>
        <w:gridCol w:w="1842"/>
      </w:tblGrid>
      <w:tr w:rsidR="00722640" w:rsidRPr="00722640" w:rsidTr="00490C65">
        <w:trPr>
          <w:trHeight w:val="285"/>
        </w:trPr>
        <w:tc>
          <w:tcPr>
            <w:tcW w:w="1480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D504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5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Status na rynku pracy</w:t>
            </w:r>
          </w:p>
        </w:tc>
      </w:tr>
      <w:tr w:rsidR="00722640" w:rsidRPr="00722640" w:rsidTr="007632B1">
        <w:trPr>
          <w:trHeight w:val="720"/>
        </w:trPr>
        <w:tc>
          <w:tcPr>
            <w:tcW w:w="1480" w:type="dxa"/>
            <w:vMerge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D504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Pracujący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D504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Bezrobotni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640" w:rsidRPr="00FD6E03" w:rsidRDefault="00722640" w:rsidP="00D504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Bierni zawodowo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22640" w:rsidRPr="00FD6E03" w:rsidRDefault="00722640" w:rsidP="00D504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Nieustalony status na rynku pracy</w:t>
            </w:r>
          </w:p>
        </w:tc>
      </w:tr>
      <w:tr w:rsidR="00722640" w:rsidRPr="00722640" w:rsidTr="00490C65">
        <w:trPr>
          <w:trHeight w:val="285"/>
        </w:trPr>
        <w:tc>
          <w:tcPr>
            <w:tcW w:w="14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640" w:rsidRPr="00FD6E03" w:rsidRDefault="00722640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722640" w:rsidRPr="00722640" w:rsidTr="00876AEC">
        <w:trPr>
          <w:trHeight w:val="285"/>
        </w:trPr>
        <w:tc>
          <w:tcPr>
            <w:tcW w:w="14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Mężczyźni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4529,3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3,3</w:t>
            </w:r>
          </w:p>
        </w:tc>
      </w:tr>
      <w:tr w:rsidR="00722640" w:rsidRPr="00722640" w:rsidTr="00876AEC">
        <w:trPr>
          <w:trHeight w:val="285"/>
        </w:trPr>
        <w:tc>
          <w:tcPr>
            <w:tcW w:w="148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Kobiety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5062,6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2,7</w:t>
            </w:r>
          </w:p>
        </w:tc>
      </w:tr>
      <w:tr w:rsidR="00722640" w:rsidRPr="00722640" w:rsidTr="00876AEC">
        <w:trPr>
          <w:trHeight w:val="285"/>
        </w:trPr>
        <w:tc>
          <w:tcPr>
            <w:tcW w:w="148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C45B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6267,1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3,2</w:t>
            </w:r>
          </w:p>
        </w:tc>
      </w:tr>
      <w:tr w:rsidR="00722640" w:rsidRPr="00722640" w:rsidTr="00876AEC">
        <w:trPr>
          <w:trHeight w:val="285"/>
        </w:trPr>
        <w:tc>
          <w:tcPr>
            <w:tcW w:w="14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9659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3324,8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640" w:rsidRPr="00FD6E03" w:rsidRDefault="00722640" w:rsidP="00876AE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2,5</w:t>
            </w:r>
          </w:p>
        </w:tc>
      </w:tr>
    </w:tbl>
    <w:p w:rsidR="00D504EA" w:rsidRDefault="00D504EA" w:rsidP="003310FA">
      <w:pPr>
        <w:spacing w:line="360" w:lineRule="auto"/>
        <w:contextualSpacing/>
        <w:jc w:val="both"/>
        <w:rPr>
          <w:sz w:val="24"/>
          <w:szCs w:val="24"/>
        </w:rPr>
      </w:pPr>
    </w:p>
    <w:p w:rsidR="00544558" w:rsidRPr="00876AEC" w:rsidRDefault="009D6756" w:rsidP="00E678C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6AEC">
        <w:rPr>
          <w:rFonts w:ascii="Times New Roman" w:hAnsi="Times New Roman" w:cs="Times New Roman"/>
          <w:sz w:val="24"/>
          <w:szCs w:val="24"/>
        </w:rPr>
        <w:t xml:space="preserve">Dalsza analiza dotyczy </w:t>
      </w:r>
      <w:r w:rsidR="00275A79" w:rsidRPr="00876AEC">
        <w:rPr>
          <w:rFonts w:ascii="Times New Roman" w:hAnsi="Times New Roman" w:cs="Times New Roman"/>
          <w:sz w:val="24"/>
          <w:szCs w:val="24"/>
        </w:rPr>
        <w:t>zbiorowości</w:t>
      </w:r>
      <w:r w:rsidR="00865A1C" w:rsidRPr="00876AEC">
        <w:rPr>
          <w:rFonts w:ascii="Times New Roman" w:hAnsi="Times New Roman" w:cs="Times New Roman"/>
          <w:sz w:val="24"/>
          <w:szCs w:val="24"/>
        </w:rPr>
        <w:t xml:space="preserve"> osób w wieku 50-69 lat</w:t>
      </w:r>
      <w:r w:rsidR="00275A79" w:rsidRPr="00876AEC">
        <w:rPr>
          <w:rFonts w:ascii="Times New Roman" w:hAnsi="Times New Roman" w:cs="Times New Roman"/>
          <w:sz w:val="24"/>
          <w:szCs w:val="24"/>
        </w:rPr>
        <w:t>, dla której</w:t>
      </w:r>
      <w:r w:rsidRPr="00876AEC">
        <w:rPr>
          <w:rFonts w:ascii="Times New Roman" w:hAnsi="Times New Roman" w:cs="Times New Roman"/>
          <w:sz w:val="24"/>
          <w:szCs w:val="24"/>
        </w:rPr>
        <w:t xml:space="preserve"> uzyskano informacje o aktywności ekonomicznej </w:t>
      </w:r>
      <w:r w:rsidR="00275A79" w:rsidRPr="00876AEC">
        <w:rPr>
          <w:rFonts w:ascii="Times New Roman" w:hAnsi="Times New Roman" w:cs="Times New Roman"/>
          <w:sz w:val="24"/>
          <w:szCs w:val="24"/>
        </w:rPr>
        <w:t>tj. 9 306,7 tys. osób.</w:t>
      </w:r>
    </w:p>
    <w:p w:rsidR="00275A79" w:rsidRPr="00FD6E03" w:rsidRDefault="00275A79" w:rsidP="00E678C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6E03">
        <w:rPr>
          <w:rFonts w:ascii="Times New Roman" w:hAnsi="Times New Roman" w:cs="Times New Roman"/>
          <w:sz w:val="24"/>
          <w:szCs w:val="24"/>
        </w:rPr>
        <w:t>Wśród ludności z określonym statusem aktywności ekonomicznej więk</w:t>
      </w:r>
      <w:r w:rsidR="008C18AD">
        <w:rPr>
          <w:rFonts w:ascii="Times New Roman" w:hAnsi="Times New Roman" w:cs="Times New Roman"/>
          <w:sz w:val="24"/>
          <w:szCs w:val="24"/>
        </w:rPr>
        <w:t>szość stanowiły kobiety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="00EF406C" w:rsidRPr="00FD6E03">
        <w:rPr>
          <w:rFonts w:ascii="Times New Roman" w:hAnsi="Times New Roman" w:cs="Times New Roman"/>
          <w:sz w:val="24"/>
          <w:szCs w:val="24"/>
        </w:rPr>
        <w:t>4 925,7 tys. osób (52,9% w omawianej grupie wiekowej), natomiast mężczyzn było 4 380</w:t>
      </w:r>
      <w:r w:rsidR="008C18AD">
        <w:rPr>
          <w:rFonts w:ascii="Times New Roman" w:hAnsi="Times New Roman" w:cs="Times New Roman"/>
          <w:sz w:val="24"/>
          <w:szCs w:val="24"/>
        </w:rPr>
        <w:t>,9 tys. tj. 47,1%.</w:t>
      </w:r>
      <w:r w:rsidR="00EF406C" w:rsidRPr="00FD6E03">
        <w:rPr>
          <w:rFonts w:ascii="Times New Roman" w:hAnsi="Times New Roman" w:cs="Times New Roman"/>
          <w:sz w:val="24"/>
          <w:szCs w:val="24"/>
        </w:rPr>
        <w:t xml:space="preserve"> Biorąc pod uwagę miejsce zamieszkania</w:t>
      </w:r>
      <w:r w:rsidR="00670EC1" w:rsidRPr="00FD6E03">
        <w:rPr>
          <w:rFonts w:ascii="Times New Roman" w:hAnsi="Times New Roman" w:cs="Times New Roman"/>
          <w:sz w:val="24"/>
          <w:szCs w:val="24"/>
        </w:rPr>
        <w:t xml:space="preserve"> </w:t>
      </w:r>
      <w:r w:rsidR="008C18AD">
        <w:rPr>
          <w:rFonts w:ascii="Times New Roman" w:hAnsi="Times New Roman" w:cs="Times New Roman"/>
          <w:sz w:val="24"/>
          <w:szCs w:val="24"/>
        </w:rPr>
        <w:t xml:space="preserve">należy podkreślić, że </w:t>
      </w:r>
      <w:r w:rsidR="005C285D" w:rsidRPr="00FD6E03">
        <w:rPr>
          <w:rFonts w:ascii="Times New Roman" w:hAnsi="Times New Roman" w:cs="Times New Roman"/>
          <w:sz w:val="24"/>
          <w:szCs w:val="24"/>
        </w:rPr>
        <w:t xml:space="preserve">zdecydowana większość </w:t>
      </w:r>
      <w:r w:rsidR="002C461F" w:rsidRPr="00FD6E03">
        <w:rPr>
          <w:rFonts w:ascii="Times New Roman" w:hAnsi="Times New Roman" w:cs="Times New Roman"/>
          <w:sz w:val="24"/>
          <w:szCs w:val="24"/>
        </w:rPr>
        <w:t>to mieszkańcy</w:t>
      </w:r>
      <w:r w:rsidR="008C18AD">
        <w:rPr>
          <w:rFonts w:ascii="Times New Roman" w:hAnsi="Times New Roman" w:cs="Times New Roman"/>
          <w:sz w:val="24"/>
          <w:szCs w:val="24"/>
        </w:rPr>
        <w:t xml:space="preserve"> </w:t>
      </w:r>
      <w:r w:rsidR="005C285D" w:rsidRPr="00FD6E03">
        <w:rPr>
          <w:rFonts w:ascii="Times New Roman" w:hAnsi="Times New Roman" w:cs="Times New Roman"/>
          <w:sz w:val="24"/>
          <w:szCs w:val="24"/>
        </w:rPr>
        <w:t>miast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="005C285D" w:rsidRPr="00FD6E03">
        <w:rPr>
          <w:rFonts w:ascii="Times New Roman" w:hAnsi="Times New Roman" w:cs="Times New Roman"/>
          <w:sz w:val="24"/>
          <w:szCs w:val="24"/>
        </w:rPr>
        <w:t>6 063,</w:t>
      </w:r>
      <w:r w:rsidR="002C461F" w:rsidRPr="00FD6E03">
        <w:rPr>
          <w:rFonts w:ascii="Times New Roman" w:hAnsi="Times New Roman" w:cs="Times New Roman"/>
          <w:sz w:val="24"/>
          <w:szCs w:val="24"/>
        </w:rPr>
        <w:t>9 tys.</w:t>
      </w:r>
      <w:r w:rsidR="005C285D" w:rsidRPr="00FD6E03">
        <w:rPr>
          <w:rFonts w:ascii="Times New Roman" w:hAnsi="Times New Roman" w:cs="Times New Roman"/>
          <w:sz w:val="24"/>
          <w:szCs w:val="24"/>
        </w:rPr>
        <w:t xml:space="preserve"> tj. 65,2%</w:t>
      </w:r>
      <w:r w:rsidR="002C461F" w:rsidRPr="00FD6E03">
        <w:rPr>
          <w:rFonts w:ascii="Times New Roman" w:hAnsi="Times New Roman" w:cs="Times New Roman"/>
          <w:sz w:val="24"/>
          <w:szCs w:val="24"/>
        </w:rPr>
        <w:t>; mieszkańcy wsi liczyli 3 242,8 tys. osób, tj. 34,8%.</w:t>
      </w:r>
    </w:p>
    <w:p w:rsidR="003310FA" w:rsidRDefault="00987021" w:rsidP="00E678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6E03">
        <w:rPr>
          <w:rFonts w:ascii="Times New Roman" w:hAnsi="Times New Roman" w:cs="Times New Roman"/>
          <w:sz w:val="24"/>
          <w:szCs w:val="24"/>
        </w:rPr>
        <w:t>Miernikiem charakteryzującym aktywność ekonomiczną ludności jest ws</w:t>
      </w:r>
      <w:r w:rsidR="00C63F29">
        <w:rPr>
          <w:rFonts w:ascii="Times New Roman" w:hAnsi="Times New Roman" w:cs="Times New Roman"/>
          <w:sz w:val="24"/>
          <w:szCs w:val="24"/>
        </w:rPr>
        <w:t>półczynnik aktywności zawodowej</w:t>
      </w:r>
      <w:r w:rsidRPr="00FD6E03">
        <w:rPr>
          <w:rFonts w:ascii="Times New Roman" w:hAnsi="Times New Roman" w:cs="Times New Roman"/>
          <w:sz w:val="24"/>
          <w:szCs w:val="24"/>
        </w:rPr>
        <w:t xml:space="preserve"> </w:t>
      </w:r>
      <w:r w:rsidR="00C63F29">
        <w:rPr>
          <w:rFonts w:ascii="Times New Roman" w:hAnsi="Times New Roman" w:cs="Times New Roman"/>
          <w:sz w:val="24"/>
          <w:szCs w:val="24"/>
        </w:rPr>
        <w:t>odzwierciedlający</w:t>
      </w:r>
      <w:r w:rsidRPr="00FD6E03">
        <w:rPr>
          <w:rFonts w:ascii="Times New Roman" w:hAnsi="Times New Roman" w:cs="Times New Roman"/>
          <w:sz w:val="24"/>
          <w:szCs w:val="24"/>
        </w:rPr>
        <w:t xml:space="preserve"> udzia</w:t>
      </w:r>
      <w:r w:rsidR="00C63F29">
        <w:rPr>
          <w:rFonts w:ascii="Times New Roman" w:hAnsi="Times New Roman" w:cs="Times New Roman"/>
          <w:sz w:val="24"/>
          <w:szCs w:val="24"/>
        </w:rPr>
        <w:t>ł</w:t>
      </w:r>
      <w:r w:rsidRPr="00FD6E03">
        <w:rPr>
          <w:rFonts w:ascii="Times New Roman" w:hAnsi="Times New Roman" w:cs="Times New Roman"/>
          <w:sz w:val="24"/>
          <w:szCs w:val="24"/>
        </w:rPr>
        <w:t xml:space="preserve"> osób pracuj</w:t>
      </w:r>
      <w:r w:rsidR="00C63F29">
        <w:rPr>
          <w:rFonts w:ascii="Times New Roman" w:hAnsi="Times New Roman" w:cs="Times New Roman"/>
          <w:sz w:val="24"/>
          <w:szCs w:val="24"/>
        </w:rPr>
        <w:t>ących i bezrobotnych łącznie</w:t>
      </w:r>
      <w:r w:rsidR="008C18AD">
        <w:rPr>
          <w:rFonts w:ascii="Times New Roman" w:hAnsi="Times New Roman" w:cs="Times New Roman"/>
          <w:sz w:val="24"/>
          <w:szCs w:val="24"/>
        </w:rPr>
        <w:t xml:space="preserve"> w </w:t>
      </w:r>
      <w:r w:rsidRPr="00FD6E03">
        <w:rPr>
          <w:rFonts w:ascii="Times New Roman" w:hAnsi="Times New Roman" w:cs="Times New Roman"/>
          <w:sz w:val="24"/>
          <w:szCs w:val="24"/>
        </w:rPr>
        <w:t xml:space="preserve">ludności ogółem </w:t>
      </w:r>
      <w:r w:rsidR="00716F38">
        <w:rPr>
          <w:rFonts w:ascii="Times New Roman" w:hAnsi="Times New Roman" w:cs="Times New Roman"/>
          <w:sz w:val="24"/>
          <w:szCs w:val="24"/>
        </w:rPr>
        <w:t>w</w:t>
      </w:r>
      <w:r w:rsidR="00C63F29" w:rsidRPr="00C63F29">
        <w:rPr>
          <w:rFonts w:ascii="Times New Roman" w:hAnsi="Times New Roman" w:cs="Times New Roman"/>
          <w:sz w:val="24"/>
          <w:szCs w:val="24"/>
        </w:rPr>
        <w:t xml:space="preserve"> danej grup</w:t>
      </w:r>
      <w:r w:rsidR="00716F38">
        <w:rPr>
          <w:rFonts w:ascii="Times New Roman" w:hAnsi="Times New Roman" w:cs="Times New Roman"/>
          <w:sz w:val="24"/>
          <w:szCs w:val="24"/>
        </w:rPr>
        <w:t>ie</w:t>
      </w:r>
      <w:r w:rsidR="00C63F29" w:rsidRPr="00C63F29">
        <w:rPr>
          <w:rFonts w:ascii="Times New Roman" w:hAnsi="Times New Roman" w:cs="Times New Roman"/>
          <w:sz w:val="24"/>
          <w:szCs w:val="24"/>
        </w:rPr>
        <w:t xml:space="preserve"> (wyróżnianej np. ze względu na płeć, miejsce zamieszkania, wiek lub poziom wykształcenia)</w:t>
      </w:r>
      <w:r w:rsidR="00C63F29">
        <w:rPr>
          <w:rFonts w:ascii="Times New Roman" w:hAnsi="Times New Roman" w:cs="Times New Roman"/>
          <w:sz w:val="24"/>
          <w:szCs w:val="24"/>
        </w:rPr>
        <w:t xml:space="preserve">. </w:t>
      </w:r>
      <w:r w:rsidRPr="00FD6E03">
        <w:rPr>
          <w:rFonts w:ascii="Times New Roman" w:hAnsi="Times New Roman" w:cs="Times New Roman"/>
          <w:sz w:val="24"/>
          <w:szCs w:val="24"/>
        </w:rPr>
        <w:t xml:space="preserve">Według wyników </w:t>
      </w:r>
      <w:r w:rsidR="005F512F">
        <w:rPr>
          <w:rFonts w:ascii="Times New Roman" w:hAnsi="Times New Roman" w:cs="Times New Roman"/>
          <w:sz w:val="24"/>
          <w:szCs w:val="24"/>
        </w:rPr>
        <w:t>Narodowego Spisu P</w:t>
      </w:r>
      <w:r w:rsidRPr="00FD6E03">
        <w:rPr>
          <w:rFonts w:ascii="Times New Roman" w:hAnsi="Times New Roman" w:cs="Times New Roman"/>
          <w:sz w:val="24"/>
          <w:szCs w:val="24"/>
        </w:rPr>
        <w:t>owszechnego współczynnik aktywności zawodowej w g</w:t>
      </w:r>
      <w:r w:rsidR="00652A36" w:rsidRPr="00FD6E03">
        <w:rPr>
          <w:rFonts w:ascii="Times New Roman" w:hAnsi="Times New Roman" w:cs="Times New Roman"/>
          <w:sz w:val="24"/>
          <w:szCs w:val="24"/>
        </w:rPr>
        <w:t xml:space="preserve">rupie wiekowej 50-69 lat </w:t>
      </w:r>
      <w:r w:rsidRPr="00FD6E03">
        <w:rPr>
          <w:rFonts w:ascii="Times New Roman" w:hAnsi="Times New Roman" w:cs="Times New Roman"/>
          <w:sz w:val="24"/>
          <w:szCs w:val="24"/>
        </w:rPr>
        <w:t xml:space="preserve">w marcu 2011 roku </w:t>
      </w:r>
      <w:r w:rsidR="00652A36" w:rsidRPr="00FD6E03">
        <w:rPr>
          <w:rFonts w:ascii="Times New Roman" w:hAnsi="Times New Roman" w:cs="Times New Roman"/>
          <w:sz w:val="24"/>
          <w:szCs w:val="24"/>
        </w:rPr>
        <w:t xml:space="preserve">wyniósł 45,4%. Współczynnik ten był zdecydowanie wyższy </w:t>
      </w:r>
      <w:r w:rsidR="00BD2157" w:rsidRPr="00FD6E03">
        <w:rPr>
          <w:rFonts w:ascii="Times New Roman" w:hAnsi="Times New Roman" w:cs="Times New Roman"/>
          <w:sz w:val="24"/>
          <w:szCs w:val="24"/>
        </w:rPr>
        <w:t xml:space="preserve">wśród mężczyzn, </w:t>
      </w:r>
      <w:r w:rsidR="00893AFC">
        <w:rPr>
          <w:rFonts w:ascii="Times New Roman" w:hAnsi="Times New Roman" w:cs="Times New Roman"/>
          <w:sz w:val="24"/>
          <w:szCs w:val="24"/>
        </w:rPr>
        <w:t>dla których wyniósł 54,4%</w:t>
      </w:r>
      <w:r w:rsidR="00BD2157" w:rsidRPr="00FD6E03">
        <w:rPr>
          <w:rFonts w:ascii="Times New Roman" w:hAnsi="Times New Roman" w:cs="Times New Roman"/>
          <w:sz w:val="24"/>
          <w:szCs w:val="24"/>
        </w:rPr>
        <w:t xml:space="preserve"> niż</w:t>
      </w:r>
      <w:r w:rsidR="00893AFC">
        <w:rPr>
          <w:rFonts w:ascii="Times New Roman" w:hAnsi="Times New Roman" w:cs="Times New Roman"/>
          <w:sz w:val="24"/>
          <w:szCs w:val="24"/>
        </w:rPr>
        <w:t xml:space="preserve"> </w:t>
      </w:r>
      <w:r w:rsidR="00BD2157" w:rsidRPr="00FD6E03">
        <w:rPr>
          <w:rFonts w:ascii="Times New Roman" w:hAnsi="Times New Roman" w:cs="Times New Roman"/>
          <w:sz w:val="24"/>
          <w:szCs w:val="24"/>
        </w:rPr>
        <w:t xml:space="preserve">wśród kobiet, gdzie wyniósł 37,3%. Mieszkańcy wsi wykazywali </w:t>
      </w:r>
      <w:r w:rsidR="00BD2157" w:rsidRPr="00FD6E03">
        <w:rPr>
          <w:rFonts w:ascii="Times New Roman" w:hAnsi="Times New Roman" w:cs="Times New Roman"/>
          <w:sz w:val="24"/>
          <w:szCs w:val="24"/>
        </w:rPr>
        <w:lastRenderedPageBreak/>
        <w:t>się wyższą aktywności</w:t>
      </w:r>
      <w:r w:rsidR="00893AFC">
        <w:rPr>
          <w:rFonts w:ascii="Times New Roman" w:hAnsi="Times New Roman" w:cs="Times New Roman"/>
          <w:sz w:val="24"/>
          <w:szCs w:val="24"/>
        </w:rPr>
        <w:t>ą zawodową niż mieszkańcy miast.</w:t>
      </w:r>
      <w:r w:rsidR="00BD2157" w:rsidRPr="00FD6E03">
        <w:rPr>
          <w:rFonts w:ascii="Times New Roman" w:hAnsi="Times New Roman" w:cs="Times New Roman"/>
          <w:sz w:val="24"/>
          <w:szCs w:val="24"/>
        </w:rPr>
        <w:t xml:space="preserve"> </w:t>
      </w:r>
      <w:r w:rsidR="00893AFC">
        <w:rPr>
          <w:rFonts w:ascii="Times New Roman" w:hAnsi="Times New Roman" w:cs="Times New Roman"/>
          <w:sz w:val="24"/>
          <w:szCs w:val="24"/>
        </w:rPr>
        <w:t>D</w:t>
      </w:r>
      <w:r w:rsidR="00BD2157" w:rsidRPr="00FD6E03">
        <w:rPr>
          <w:rFonts w:ascii="Times New Roman" w:hAnsi="Times New Roman" w:cs="Times New Roman"/>
          <w:sz w:val="24"/>
          <w:szCs w:val="24"/>
        </w:rPr>
        <w:t xml:space="preserve">la ludności wiejskiej wskaźnik ten wyniósł 46,9%, natomiast dla ludności miejskiej 44,5%. </w:t>
      </w:r>
    </w:p>
    <w:p w:rsidR="00716F38" w:rsidRPr="003C3763" w:rsidRDefault="00716F38" w:rsidP="00E678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6E03">
        <w:rPr>
          <w:rFonts w:ascii="Times New Roman" w:hAnsi="Times New Roman" w:cs="Times New Roman"/>
          <w:sz w:val="24"/>
          <w:szCs w:val="24"/>
        </w:rPr>
        <w:t>Ważną kategorią opisującą aktywnych zawodowo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6E03">
        <w:rPr>
          <w:rFonts w:ascii="Times New Roman" w:hAnsi="Times New Roman" w:cs="Times New Roman"/>
          <w:sz w:val="24"/>
          <w:szCs w:val="24"/>
        </w:rPr>
        <w:t xml:space="preserve"> oprócz płci i miejsca zamieszkania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6E03">
        <w:rPr>
          <w:rFonts w:ascii="Times New Roman" w:hAnsi="Times New Roman" w:cs="Times New Roman"/>
          <w:sz w:val="24"/>
          <w:szCs w:val="24"/>
        </w:rPr>
        <w:t xml:space="preserve"> jest wiek. </w:t>
      </w:r>
      <w:r w:rsidRPr="003C3763">
        <w:rPr>
          <w:rFonts w:ascii="Times New Roman" w:hAnsi="Times New Roman" w:cs="Times New Roman"/>
          <w:sz w:val="24"/>
          <w:szCs w:val="24"/>
        </w:rPr>
        <w:t>Wraz z wiekiem aktywność zawodowa</w:t>
      </w:r>
      <w:r w:rsidR="006A0606">
        <w:rPr>
          <w:rFonts w:ascii="Times New Roman" w:hAnsi="Times New Roman" w:cs="Times New Roman"/>
          <w:sz w:val="24"/>
          <w:szCs w:val="24"/>
        </w:rPr>
        <w:t xml:space="preserve"> osób starszych </w:t>
      </w:r>
      <w:r w:rsidRPr="003C3763">
        <w:rPr>
          <w:rFonts w:ascii="Times New Roman" w:hAnsi="Times New Roman" w:cs="Times New Roman"/>
          <w:sz w:val="24"/>
          <w:szCs w:val="24"/>
        </w:rPr>
        <w:t xml:space="preserve">maleje. W omawianej grupie wiekowej najwyższy współczynnik aktywności zawodowej wystąpił </w:t>
      </w:r>
      <w:r>
        <w:rPr>
          <w:rFonts w:ascii="Times New Roman" w:hAnsi="Times New Roman" w:cs="Times New Roman"/>
          <w:sz w:val="24"/>
          <w:szCs w:val="24"/>
        </w:rPr>
        <w:t>wśród</w:t>
      </w:r>
      <w:r w:rsidRPr="003C3763">
        <w:rPr>
          <w:rFonts w:ascii="Times New Roman" w:hAnsi="Times New Roman" w:cs="Times New Roman"/>
          <w:sz w:val="24"/>
          <w:szCs w:val="24"/>
        </w:rPr>
        <w:t xml:space="preserve"> osób w wieku 50-54 lata – 73,9%, przy czym był wyższy u mężczyzn niż</w:t>
      </w:r>
      <w:r w:rsidR="006A0606">
        <w:rPr>
          <w:rFonts w:ascii="Times New Roman" w:hAnsi="Times New Roman" w:cs="Times New Roman"/>
          <w:sz w:val="24"/>
          <w:szCs w:val="24"/>
        </w:rPr>
        <w:t xml:space="preserve"> u kobiet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="006A0606">
        <w:rPr>
          <w:rFonts w:ascii="Times New Roman" w:hAnsi="Times New Roman" w:cs="Times New Roman"/>
          <w:sz w:val="24"/>
          <w:szCs w:val="24"/>
        </w:rPr>
        <w:t>odpowiednio 77,4% i </w:t>
      </w:r>
      <w:r w:rsidRPr="003C3763">
        <w:rPr>
          <w:rFonts w:ascii="Times New Roman" w:hAnsi="Times New Roman" w:cs="Times New Roman"/>
          <w:sz w:val="24"/>
          <w:szCs w:val="24"/>
        </w:rPr>
        <w:t>70,6%. Wyraźnie widać, że wśród osób w wieku 55-</w:t>
      </w:r>
      <w:r w:rsidR="00260C61">
        <w:rPr>
          <w:rFonts w:ascii="Times New Roman" w:hAnsi="Times New Roman" w:cs="Times New Roman"/>
          <w:sz w:val="24"/>
          <w:szCs w:val="24"/>
        </w:rPr>
        <w:t>59 lat</w:t>
      </w:r>
      <w:r w:rsidRPr="003C3763">
        <w:rPr>
          <w:rFonts w:ascii="Times New Roman" w:hAnsi="Times New Roman" w:cs="Times New Roman"/>
          <w:sz w:val="24"/>
          <w:szCs w:val="24"/>
        </w:rPr>
        <w:t xml:space="preserve"> wzrasta różnica w</w:t>
      </w:r>
      <w:r>
        <w:rPr>
          <w:rFonts w:ascii="Times New Roman" w:hAnsi="Times New Roman" w:cs="Times New Roman"/>
          <w:sz w:val="24"/>
          <w:szCs w:val="24"/>
        </w:rPr>
        <w:t>e wskaźniku</w:t>
      </w:r>
      <w:r w:rsidRPr="003C3763">
        <w:rPr>
          <w:rFonts w:ascii="Times New Roman" w:hAnsi="Times New Roman" w:cs="Times New Roman"/>
          <w:sz w:val="24"/>
          <w:szCs w:val="24"/>
        </w:rPr>
        <w:t xml:space="preserve"> aktywności zawodowej pomiędzy mężczyznami i kobietami. W grupie wiekowej 60-64 lata aktywnych zawodowo kobiet jest o połowę mniej niż mężczyzn</w:t>
      </w:r>
      <w:r w:rsidR="006A0606">
        <w:rPr>
          <w:rFonts w:ascii="Times New Roman" w:hAnsi="Times New Roman" w:cs="Times New Roman"/>
          <w:sz w:val="24"/>
          <w:szCs w:val="24"/>
        </w:rPr>
        <w:t>, co ma ścisły związek z granicą wieku emerytalnego, innego dla kobiet i mężczyzn</w:t>
      </w:r>
      <w:r w:rsidRPr="003C376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Aktywność zawodowa w</w:t>
      </w:r>
      <w:r w:rsidR="006A0606">
        <w:rPr>
          <w:rFonts w:ascii="Times New Roman" w:hAnsi="Times New Roman" w:cs="Times New Roman"/>
          <w:sz w:val="24"/>
          <w:szCs w:val="24"/>
        </w:rPr>
        <w:t> kolejnej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C3763">
        <w:rPr>
          <w:rFonts w:ascii="Times New Roman" w:hAnsi="Times New Roman" w:cs="Times New Roman"/>
          <w:sz w:val="24"/>
          <w:szCs w:val="24"/>
        </w:rPr>
        <w:t>grupie wieku 65-69 lat wynosiła zaledwie 10,8%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3763">
        <w:rPr>
          <w:rFonts w:ascii="Times New Roman" w:hAnsi="Times New Roman" w:cs="Times New Roman"/>
          <w:sz w:val="24"/>
          <w:szCs w:val="24"/>
        </w:rPr>
        <w:t xml:space="preserve"> </w:t>
      </w:r>
      <w:r w:rsidR="006A0606">
        <w:rPr>
          <w:rFonts w:ascii="Times New Roman" w:hAnsi="Times New Roman" w:cs="Times New Roman"/>
          <w:sz w:val="24"/>
          <w:szCs w:val="24"/>
        </w:rPr>
        <w:t>u </w:t>
      </w:r>
      <w:r w:rsidRPr="003C3763">
        <w:rPr>
          <w:rFonts w:ascii="Times New Roman" w:hAnsi="Times New Roman" w:cs="Times New Roman"/>
          <w:sz w:val="24"/>
          <w:szCs w:val="24"/>
        </w:rPr>
        <w:t xml:space="preserve">mężczyzn wyniosła 15,1%, zaś u kobiet tylko 7,5%. </w:t>
      </w:r>
    </w:p>
    <w:p w:rsidR="002D6276" w:rsidRPr="00E678CF" w:rsidRDefault="003C3763" w:rsidP="0067351D">
      <w:pPr>
        <w:spacing w:before="60" w:line="360" w:lineRule="auto"/>
        <w:contextualSpacing/>
        <w:jc w:val="both"/>
        <w:rPr>
          <w:rFonts w:ascii="Times New Roman" w:hAnsi="Times New Roman" w:cs="Times New Roman"/>
          <w:b/>
          <w:sz w:val="20"/>
        </w:rPr>
      </w:pPr>
      <w:r w:rsidRPr="00E678CF">
        <w:rPr>
          <w:rFonts w:ascii="Times New Roman" w:hAnsi="Times New Roman" w:cs="Times New Roman"/>
          <w:b/>
          <w:sz w:val="20"/>
        </w:rPr>
        <w:t xml:space="preserve">Wykres </w:t>
      </w:r>
      <w:r w:rsidR="00F478EC">
        <w:rPr>
          <w:rFonts w:ascii="Times New Roman" w:hAnsi="Times New Roman" w:cs="Times New Roman"/>
          <w:b/>
          <w:sz w:val="20"/>
        </w:rPr>
        <w:t>2.2</w:t>
      </w:r>
      <w:r w:rsidRPr="00E678CF">
        <w:rPr>
          <w:rFonts w:ascii="Times New Roman" w:hAnsi="Times New Roman" w:cs="Times New Roman"/>
          <w:b/>
          <w:sz w:val="20"/>
        </w:rPr>
        <w:t xml:space="preserve">. </w:t>
      </w:r>
      <w:r w:rsidR="002D6276" w:rsidRPr="00E678CF">
        <w:rPr>
          <w:rFonts w:ascii="Times New Roman" w:hAnsi="Times New Roman" w:cs="Times New Roman"/>
          <w:b/>
          <w:sz w:val="20"/>
        </w:rPr>
        <w:t>Współczynnik aktywności zawodowej według wieku, płci i miejsca zamieszkania</w:t>
      </w:r>
    </w:p>
    <w:p w:rsidR="0059341E" w:rsidRPr="00652A36" w:rsidRDefault="00CD0EA7" w:rsidP="00C45BB9">
      <w:pPr>
        <w:spacing w:line="360" w:lineRule="auto"/>
        <w:jc w:val="both"/>
        <w:rPr>
          <w:sz w:val="24"/>
          <w:szCs w:val="24"/>
        </w:rPr>
      </w:pPr>
      <w:r w:rsidRPr="00CD0EA7">
        <w:rPr>
          <w:noProof/>
          <w:sz w:val="24"/>
          <w:szCs w:val="24"/>
          <w:lang w:eastAsia="pl-PL"/>
        </w:rPr>
        <w:drawing>
          <wp:inline distT="0" distB="0" distL="0" distR="0">
            <wp:extent cx="2886075" cy="2895600"/>
            <wp:effectExtent l="19050" t="0" r="0" b="0"/>
            <wp:docPr id="5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CD0EA7">
        <w:rPr>
          <w:noProof/>
          <w:sz w:val="24"/>
          <w:szCs w:val="24"/>
          <w:lang w:eastAsia="pl-PL"/>
        </w:rPr>
        <w:drawing>
          <wp:inline distT="0" distB="0" distL="0" distR="0">
            <wp:extent cx="2800350" cy="2886075"/>
            <wp:effectExtent l="19050" t="0" r="0" b="0"/>
            <wp:docPr id="8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6429C" w:rsidRDefault="00C45BB9" w:rsidP="006735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763">
        <w:rPr>
          <w:rFonts w:ascii="Times New Roman" w:hAnsi="Times New Roman" w:cs="Times New Roman"/>
          <w:sz w:val="24"/>
          <w:szCs w:val="24"/>
        </w:rPr>
        <w:t>Inną istotną cechą opisującą, jak i pokazującą zróżnicowanie ludności aktywnej zawodowo jest poziom wykształcenia.</w:t>
      </w:r>
      <w:r w:rsidR="00B6429C" w:rsidRPr="003C3763">
        <w:rPr>
          <w:rFonts w:ascii="Times New Roman" w:hAnsi="Times New Roman" w:cs="Times New Roman"/>
          <w:sz w:val="24"/>
          <w:szCs w:val="24"/>
        </w:rPr>
        <w:t xml:space="preserve"> Wśród aktywnej zawodowo populacji osób w wieku 50-69 lat prz</w:t>
      </w:r>
      <w:r w:rsidR="008C18AD" w:rsidRPr="003C3763">
        <w:rPr>
          <w:rFonts w:ascii="Times New Roman" w:hAnsi="Times New Roman" w:cs="Times New Roman"/>
          <w:sz w:val="24"/>
          <w:szCs w:val="24"/>
        </w:rPr>
        <w:t>eważały osoby z </w:t>
      </w:r>
      <w:r w:rsidR="00B6429C" w:rsidRPr="003C3763">
        <w:rPr>
          <w:rFonts w:ascii="Times New Roman" w:hAnsi="Times New Roman" w:cs="Times New Roman"/>
          <w:sz w:val="24"/>
          <w:szCs w:val="24"/>
        </w:rPr>
        <w:t xml:space="preserve">wykształceniem zasadniczym zawodowym oraz policealnym </w:t>
      </w:r>
      <w:r w:rsidR="00893AFC">
        <w:rPr>
          <w:rFonts w:ascii="Times New Roman" w:hAnsi="Times New Roman" w:cs="Times New Roman"/>
          <w:sz w:val="24"/>
          <w:szCs w:val="24"/>
        </w:rPr>
        <w:br/>
      </w:r>
      <w:r w:rsidR="00B6429C" w:rsidRPr="003C3763">
        <w:rPr>
          <w:rFonts w:ascii="Times New Roman" w:hAnsi="Times New Roman" w:cs="Times New Roman"/>
          <w:sz w:val="24"/>
          <w:szCs w:val="24"/>
        </w:rPr>
        <w:t>i średnim zawodow</w:t>
      </w:r>
      <w:r w:rsidR="00260C61">
        <w:rPr>
          <w:rFonts w:ascii="Times New Roman" w:hAnsi="Times New Roman" w:cs="Times New Roman"/>
          <w:sz w:val="24"/>
          <w:szCs w:val="24"/>
        </w:rPr>
        <w:t>ym. Większość mężczyzn posiadała</w:t>
      </w:r>
      <w:r w:rsidR="00B6429C" w:rsidRPr="003C3763">
        <w:rPr>
          <w:rFonts w:ascii="Times New Roman" w:hAnsi="Times New Roman" w:cs="Times New Roman"/>
          <w:sz w:val="24"/>
          <w:szCs w:val="24"/>
        </w:rPr>
        <w:t xml:space="preserve"> wyks</w:t>
      </w:r>
      <w:r w:rsidR="00260C61">
        <w:rPr>
          <w:rFonts w:ascii="Times New Roman" w:hAnsi="Times New Roman" w:cs="Times New Roman"/>
          <w:sz w:val="24"/>
          <w:szCs w:val="24"/>
        </w:rPr>
        <w:t>ztałcenie zasadnicze zawodowe i </w:t>
      </w:r>
      <w:r w:rsidR="00B6429C" w:rsidRPr="003C3763">
        <w:rPr>
          <w:rFonts w:ascii="Times New Roman" w:hAnsi="Times New Roman" w:cs="Times New Roman"/>
          <w:sz w:val="24"/>
          <w:szCs w:val="24"/>
        </w:rPr>
        <w:t>niższe, natomiast kobiety w większości posiadały wy</w:t>
      </w:r>
      <w:r w:rsidR="008C18AD" w:rsidRPr="003C3763">
        <w:rPr>
          <w:rFonts w:ascii="Times New Roman" w:hAnsi="Times New Roman" w:cs="Times New Roman"/>
          <w:sz w:val="24"/>
          <w:szCs w:val="24"/>
        </w:rPr>
        <w:t>kształcenie co najmniej średnie</w:t>
      </w:r>
      <w:r w:rsidR="00B6429C" w:rsidRPr="003C3763">
        <w:rPr>
          <w:rFonts w:ascii="Times New Roman" w:hAnsi="Times New Roman" w:cs="Times New Roman"/>
          <w:sz w:val="24"/>
          <w:szCs w:val="24"/>
        </w:rPr>
        <w:t xml:space="preserve">. </w:t>
      </w:r>
      <w:r w:rsidR="00893AFC">
        <w:rPr>
          <w:rFonts w:ascii="Times New Roman" w:hAnsi="Times New Roman" w:cs="Times New Roman"/>
          <w:sz w:val="24"/>
          <w:szCs w:val="24"/>
        </w:rPr>
        <w:br/>
        <w:t>W</w:t>
      </w:r>
      <w:r w:rsidR="00B6429C" w:rsidRPr="003C3763">
        <w:rPr>
          <w:rFonts w:ascii="Times New Roman" w:hAnsi="Times New Roman" w:cs="Times New Roman"/>
          <w:sz w:val="24"/>
          <w:szCs w:val="24"/>
        </w:rPr>
        <w:t xml:space="preserve"> omawianej grupie wiekowej lepiej wykształceni byli mieszkańcy miast – ponad połowa osób zamieszkałych w mieście posiadała wykształcenie co najmniej średnie. Mieszkańcy wsi w większości – ponad </w:t>
      </w:r>
      <w:r w:rsidR="00D450B8" w:rsidRPr="003C3763">
        <w:rPr>
          <w:rFonts w:ascii="Times New Roman" w:hAnsi="Times New Roman" w:cs="Times New Roman"/>
          <w:sz w:val="24"/>
          <w:szCs w:val="24"/>
        </w:rPr>
        <w:t>2/3 –</w:t>
      </w:r>
      <w:r w:rsidR="00B6429C" w:rsidRPr="003C3763">
        <w:rPr>
          <w:rFonts w:ascii="Times New Roman" w:hAnsi="Times New Roman" w:cs="Times New Roman"/>
          <w:sz w:val="24"/>
          <w:szCs w:val="24"/>
        </w:rPr>
        <w:t xml:space="preserve"> posiada</w:t>
      </w:r>
      <w:r w:rsidR="00D450B8" w:rsidRPr="003C3763">
        <w:rPr>
          <w:rFonts w:ascii="Times New Roman" w:hAnsi="Times New Roman" w:cs="Times New Roman"/>
          <w:sz w:val="24"/>
          <w:szCs w:val="24"/>
        </w:rPr>
        <w:t xml:space="preserve">li </w:t>
      </w:r>
      <w:r w:rsidR="00B6429C" w:rsidRPr="003C3763">
        <w:rPr>
          <w:rFonts w:ascii="Times New Roman" w:hAnsi="Times New Roman" w:cs="Times New Roman"/>
          <w:sz w:val="24"/>
          <w:szCs w:val="24"/>
        </w:rPr>
        <w:t>wykształcenie zasadnicze zawodowe i niższe</w:t>
      </w:r>
      <w:r w:rsidR="00D450B8" w:rsidRPr="003C3763">
        <w:rPr>
          <w:rFonts w:ascii="Times New Roman" w:hAnsi="Times New Roman" w:cs="Times New Roman"/>
          <w:sz w:val="24"/>
          <w:szCs w:val="24"/>
        </w:rPr>
        <w:t>.</w:t>
      </w:r>
      <w:r w:rsidR="008C18AD" w:rsidRPr="003C37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EA7" w:rsidRDefault="00CD0EA7" w:rsidP="00CC301C">
      <w:pPr>
        <w:pStyle w:val="Legenda"/>
        <w:spacing w:after="60"/>
        <w:jc w:val="both"/>
        <w:rPr>
          <w:rFonts w:ascii="Times New Roman" w:hAnsi="Times New Roman" w:cs="Times New Roman"/>
          <w:color w:val="auto"/>
          <w:sz w:val="20"/>
          <w:szCs w:val="22"/>
        </w:rPr>
      </w:pPr>
    </w:p>
    <w:p w:rsidR="008B0CAA" w:rsidRPr="00E678CF" w:rsidRDefault="003C3763" w:rsidP="00CC301C">
      <w:pPr>
        <w:pStyle w:val="Legenda"/>
        <w:spacing w:after="60"/>
        <w:jc w:val="both"/>
        <w:rPr>
          <w:rFonts w:ascii="Times New Roman" w:hAnsi="Times New Roman" w:cs="Times New Roman"/>
          <w:color w:val="auto"/>
          <w:sz w:val="20"/>
          <w:szCs w:val="22"/>
          <w:vertAlign w:val="superscript"/>
        </w:rPr>
      </w:pPr>
      <w:r w:rsidRPr="00E678CF">
        <w:rPr>
          <w:rFonts w:ascii="Times New Roman" w:hAnsi="Times New Roman" w:cs="Times New Roman"/>
          <w:color w:val="auto"/>
          <w:sz w:val="20"/>
          <w:szCs w:val="22"/>
        </w:rPr>
        <w:lastRenderedPageBreak/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2.2</w:t>
      </w:r>
      <w:r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8B0CAA"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Ludność </w:t>
      </w:r>
      <w:r w:rsidR="006C4482"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w wieku 50-69 lat </w:t>
      </w:r>
      <w:r w:rsidR="008B0CAA" w:rsidRPr="00E678CF">
        <w:rPr>
          <w:rFonts w:ascii="Times New Roman" w:hAnsi="Times New Roman" w:cs="Times New Roman"/>
          <w:color w:val="auto"/>
          <w:sz w:val="20"/>
          <w:szCs w:val="22"/>
        </w:rPr>
        <w:t>wed</w:t>
      </w:r>
      <w:r w:rsidRPr="00E678CF">
        <w:rPr>
          <w:rFonts w:ascii="Times New Roman" w:hAnsi="Times New Roman" w:cs="Times New Roman"/>
          <w:color w:val="auto"/>
          <w:sz w:val="20"/>
          <w:szCs w:val="22"/>
        </w:rPr>
        <w:t>ług poziomu wykształcenia, płci</w:t>
      </w:r>
      <w:r w:rsidR="0067351D" w:rsidRPr="00E678CF">
        <w:rPr>
          <w:rFonts w:ascii="Times New Roman" w:hAnsi="Times New Roman" w:cs="Times New Roman"/>
          <w:color w:val="auto"/>
          <w:sz w:val="20"/>
          <w:szCs w:val="22"/>
        </w:rPr>
        <w:t xml:space="preserve"> </w:t>
      </w:r>
      <w:r w:rsidR="008B0CAA" w:rsidRPr="00E678CF">
        <w:rPr>
          <w:rFonts w:ascii="Times New Roman" w:hAnsi="Times New Roman" w:cs="Times New Roman"/>
          <w:color w:val="auto"/>
          <w:sz w:val="20"/>
          <w:szCs w:val="22"/>
        </w:rPr>
        <w:t>i miejsca zamieszkania</w:t>
      </w:r>
      <w:r w:rsidR="00D450B8" w:rsidRPr="00E678CF">
        <w:rPr>
          <w:rFonts w:ascii="Times New Roman" w:hAnsi="Times New Roman" w:cs="Times New Roman"/>
          <w:color w:val="auto"/>
          <w:sz w:val="20"/>
          <w:szCs w:val="22"/>
          <w:vertAlign w:val="superscript"/>
        </w:rPr>
        <w:t>*</w:t>
      </w:r>
    </w:p>
    <w:tbl>
      <w:tblPr>
        <w:tblW w:w="9077" w:type="dxa"/>
        <w:tblInd w:w="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04"/>
        <w:gridCol w:w="1404"/>
        <w:gridCol w:w="1153"/>
        <w:gridCol w:w="1153"/>
        <w:gridCol w:w="1153"/>
        <w:gridCol w:w="1153"/>
        <w:gridCol w:w="1157"/>
      </w:tblGrid>
      <w:tr w:rsidR="005F512F" w:rsidRPr="005F512F" w:rsidTr="0065037C">
        <w:trPr>
          <w:trHeight w:val="293"/>
        </w:trPr>
        <w:tc>
          <w:tcPr>
            <w:tcW w:w="19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Poziom wykształcenia</w:t>
            </w:r>
          </w:p>
        </w:tc>
      </w:tr>
      <w:tr w:rsidR="005F512F" w:rsidRPr="005F512F" w:rsidTr="0065037C">
        <w:trPr>
          <w:trHeight w:val="1235"/>
        </w:trPr>
        <w:tc>
          <w:tcPr>
            <w:tcW w:w="19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Wyższe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Policealne </w:t>
            </w:r>
            <w:r w:rsidR="006503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 średnie zawodowe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Średnie ogólno- kształcące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Zasadnicze zawodowe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Gimnazjalne </w:t>
            </w:r>
            <w:r w:rsidR="006503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 niższe</w:t>
            </w:r>
          </w:p>
        </w:tc>
      </w:tr>
      <w:tr w:rsidR="005F512F" w:rsidRPr="005F512F" w:rsidTr="0065037C">
        <w:trPr>
          <w:trHeight w:val="293"/>
        </w:trPr>
        <w:tc>
          <w:tcPr>
            <w:tcW w:w="19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5F51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5F512F" w:rsidRPr="0022500E" w:rsidTr="0065037C">
        <w:trPr>
          <w:trHeight w:val="293"/>
        </w:trPr>
        <w:tc>
          <w:tcPr>
            <w:tcW w:w="19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4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9306,7</w:t>
            </w:r>
          </w:p>
        </w:tc>
        <w:tc>
          <w:tcPr>
            <w:tcW w:w="11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13,1</w:t>
            </w:r>
          </w:p>
        </w:tc>
        <w:tc>
          <w:tcPr>
            <w:tcW w:w="11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25,2</w:t>
            </w:r>
          </w:p>
        </w:tc>
        <w:tc>
          <w:tcPr>
            <w:tcW w:w="11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9,6</w:t>
            </w:r>
          </w:p>
        </w:tc>
        <w:tc>
          <w:tcPr>
            <w:tcW w:w="11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5F512F" w:rsidRPr="0022500E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21,3</w:t>
            </w:r>
          </w:p>
        </w:tc>
      </w:tr>
      <w:tr w:rsidR="005F512F" w:rsidRPr="005F512F" w:rsidTr="0065037C">
        <w:trPr>
          <w:trHeight w:val="293"/>
        </w:trPr>
        <w:tc>
          <w:tcPr>
            <w:tcW w:w="190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Mężczyźni</w:t>
            </w:r>
          </w:p>
        </w:tc>
        <w:tc>
          <w:tcPr>
            <w:tcW w:w="1405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4380,9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12,7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23,5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5,1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39,6</w:t>
            </w:r>
          </w:p>
        </w:tc>
        <w:tc>
          <w:tcPr>
            <w:tcW w:w="115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19,1</w:t>
            </w:r>
          </w:p>
        </w:tc>
      </w:tr>
      <w:tr w:rsidR="005F512F" w:rsidRPr="005F512F" w:rsidTr="0065037C">
        <w:trPr>
          <w:trHeight w:val="293"/>
        </w:trPr>
        <w:tc>
          <w:tcPr>
            <w:tcW w:w="190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Kobiety</w:t>
            </w:r>
          </w:p>
        </w:tc>
        <w:tc>
          <w:tcPr>
            <w:tcW w:w="1405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4925,7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13,3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26,8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13,7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22,9</w:t>
            </w:r>
          </w:p>
        </w:tc>
        <w:tc>
          <w:tcPr>
            <w:tcW w:w="115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23,3</w:t>
            </w:r>
          </w:p>
        </w:tc>
      </w:tr>
      <w:tr w:rsidR="005F512F" w:rsidRPr="005F512F" w:rsidTr="0065037C">
        <w:trPr>
          <w:trHeight w:val="293"/>
        </w:trPr>
        <w:tc>
          <w:tcPr>
            <w:tcW w:w="190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405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6063,9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16,7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29,4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11,6</w:t>
            </w:r>
          </w:p>
        </w:tc>
        <w:tc>
          <w:tcPr>
            <w:tcW w:w="115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28,2</w:t>
            </w:r>
          </w:p>
        </w:tc>
        <w:tc>
          <w:tcPr>
            <w:tcW w:w="1154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14,1</w:t>
            </w:r>
          </w:p>
        </w:tc>
      </w:tr>
      <w:tr w:rsidR="005F512F" w:rsidRPr="005F512F" w:rsidTr="0065037C">
        <w:trPr>
          <w:trHeight w:val="293"/>
        </w:trPr>
        <w:tc>
          <w:tcPr>
            <w:tcW w:w="19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5F51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140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3242,8</w:t>
            </w:r>
          </w:p>
        </w:tc>
        <w:tc>
          <w:tcPr>
            <w:tcW w:w="11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6,2</w:t>
            </w:r>
          </w:p>
        </w:tc>
        <w:tc>
          <w:tcPr>
            <w:tcW w:w="11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17,5</w:t>
            </w:r>
          </w:p>
        </w:tc>
        <w:tc>
          <w:tcPr>
            <w:tcW w:w="11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11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35,4</w:t>
            </w:r>
          </w:p>
        </w:tc>
        <w:tc>
          <w:tcPr>
            <w:tcW w:w="1154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2F" w:rsidRPr="00490C65" w:rsidRDefault="005F512F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90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34,9</w:t>
            </w:r>
          </w:p>
        </w:tc>
      </w:tr>
    </w:tbl>
    <w:p w:rsidR="00D450B8" w:rsidRPr="00CC301C" w:rsidRDefault="003A5E1D" w:rsidP="00D450B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301C">
        <w:rPr>
          <w:rFonts w:ascii="Times New Roman" w:hAnsi="Times New Roman" w:cs="Times New Roman"/>
          <w:sz w:val="20"/>
          <w:szCs w:val="20"/>
        </w:rPr>
        <w:t>*</w:t>
      </w:r>
      <w:r w:rsidR="00D450B8" w:rsidRPr="00CC301C">
        <w:rPr>
          <w:rFonts w:ascii="Times New Roman" w:hAnsi="Times New Roman" w:cs="Times New Roman"/>
          <w:sz w:val="20"/>
          <w:szCs w:val="20"/>
        </w:rPr>
        <w:t xml:space="preserve"> w tabeli nie uwzględniono nieustalonego poziomu wykształcenia</w:t>
      </w:r>
    </w:p>
    <w:p w:rsidR="008B0CAA" w:rsidRPr="00CC301C" w:rsidRDefault="00D450B8" w:rsidP="00D450B8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CC301C">
        <w:rPr>
          <w:rFonts w:ascii="Times New Roman" w:hAnsi="Times New Roman" w:cs="Times New Roman"/>
          <w:sz w:val="20"/>
          <w:szCs w:val="20"/>
        </w:rPr>
        <w:t>**</w:t>
      </w:r>
      <w:r w:rsidR="003A5E1D" w:rsidRPr="00CC301C">
        <w:rPr>
          <w:rFonts w:ascii="Times New Roman" w:hAnsi="Times New Roman" w:cs="Times New Roman"/>
          <w:sz w:val="20"/>
          <w:szCs w:val="20"/>
        </w:rPr>
        <w:t xml:space="preserve"> łącznie z wykształceniem podstawowym nieukończonym i bez wykształcenia szkolnego</w:t>
      </w:r>
    </w:p>
    <w:p w:rsidR="00FD1106" w:rsidRPr="003C3763" w:rsidRDefault="00025385" w:rsidP="00CC30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3763">
        <w:rPr>
          <w:rFonts w:ascii="Times New Roman" w:hAnsi="Times New Roman" w:cs="Times New Roman"/>
          <w:sz w:val="24"/>
          <w:szCs w:val="24"/>
        </w:rPr>
        <w:t>Najwyższym współczynnikiem aktywności zawod</w:t>
      </w:r>
      <w:r w:rsidR="0067351D">
        <w:rPr>
          <w:rFonts w:ascii="Times New Roman" w:hAnsi="Times New Roman" w:cs="Times New Roman"/>
          <w:sz w:val="24"/>
          <w:szCs w:val="24"/>
        </w:rPr>
        <w:t>owej wśród populacji w wieku 50</w:t>
      </w:r>
      <w:r w:rsidR="0067351D">
        <w:rPr>
          <w:rFonts w:ascii="Times New Roman" w:hAnsi="Times New Roman" w:cs="Times New Roman"/>
          <w:sz w:val="24"/>
          <w:szCs w:val="24"/>
        </w:rPr>
        <w:noBreakHyphen/>
      </w:r>
      <w:r w:rsidRPr="003C3763">
        <w:rPr>
          <w:rFonts w:ascii="Times New Roman" w:hAnsi="Times New Roman" w:cs="Times New Roman"/>
          <w:sz w:val="24"/>
          <w:szCs w:val="24"/>
        </w:rPr>
        <w:t>69 lat charakteryzowały się osoby z wykształceniem wyższym (64,0%</w:t>
      </w:r>
      <w:r w:rsidR="0067351D">
        <w:rPr>
          <w:rFonts w:ascii="Times New Roman" w:hAnsi="Times New Roman" w:cs="Times New Roman"/>
          <w:sz w:val="24"/>
          <w:szCs w:val="24"/>
        </w:rPr>
        <w:t>). Taka sama sytuacja występowała</w:t>
      </w:r>
      <w:r w:rsidRPr="003C3763">
        <w:rPr>
          <w:rFonts w:ascii="Times New Roman" w:hAnsi="Times New Roman" w:cs="Times New Roman"/>
          <w:sz w:val="24"/>
          <w:szCs w:val="24"/>
        </w:rPr>
        <w:t xml:space="preserve"> zarówno wśród mężczyzn i kobiet </w:t>
      </w:r>
      <w:r w:rsidR="0067351D">
        <w:rPr>
          <w:rFonts w:ascii="Times New Roman" w:hAnsi="Times New Roman" w:cs="Times New Roman"/>
          <w:sz w:val="24"/>
          <w:szCs w:val="24"/>
        </w:rPr>
        <w:t>jak i</w:t>
      </w:r>
      <w:r w:rsidRPr="003C3763">
        <w:rPr>
          <w:rFonts w:ascii="Times New Roman" w:hAnsi="Times New Roman" w:cs="Times New Roman"/>
          <w:sz w:val="24"/>
          <w:szCs w:val="24"/>
        </w:rPr>
        <w:t xml:space="preserve"> mieszkańców miast i wsi.</w:t>
      </w:r>
      <w:r w:rsidR="00C90037" w:rsidRPr="003C3763">
        <w:rPr>
          <w:rFonts w:ascii="Times New Roman" w:hAnsi="Times New Roman" w:cs="Times New Roman"/>
          <w:sz w:val="24"/>
          <w:szCs w:val="24"/>
        </w:rPr>
        <w:t xml:space="preserve"> </w:t>
      </w:r>
      <w:r w:rsidR="0099290B" w:rsidRPr="003C3763">
        <w:rPr>
          <w:rFonts w:ascii="Times New Roman" w:hAnsi="Times New Roman" w:cs="Times New Roman"/>
          <w:sz w:val="24"/>
          <w:szCs w:val="24"/>
        </w:rPr>
        <w:t>Najniższy wskaźnik aktywności za</w:t>
      </w:r>
      <w:r w:rsidR="00D450B8" w:rsidRPr="003C3763">
        <w:rPr>
          <w:rFonts w:ascii="Times New Roman" w:hAnsi="Times New Roman" w:cs="Times New Roman"/>
          <w:sz w:val="24"/>
          <w:szCs w:val="24"/>
        </w:rPr>
        <w:t>wodowej odnotowano wśród osób z </w:t>
      </w:r>
      <w:r w:rsidR="0067351D">
        <w:rPr>
          <w:rFonts w:ascii="Times New Roman" w:hAnsi="Times New Roman" w:cs="Times New Roman"/>
          <w:sz w:val="24"/>
          <w:szCs w:val="24"/>
        </w:rPr>
        <w:t>wykształceniem gimnazjalnym i </w:t>
      </w:r>
      <w:r w:rsidR="0099290B" w:rsidRPr="003C3763">
        <w:rPr>
          <w:rFonts w:ascii="Times New Roman" w:hAnsi="Times New Roman" w:cs="Times New Roman"/>
          <w:sz w:val="24"/>
          <w:szCs w:val="24"/>
        </w:rPr>
        <w:t>niższym – 27,7% oraz średnim ogólnokształcącym – 40,0%.</w:t>
      </w:r>
    </w:p>
    <w:p w:rsidR="00B6429C" w:rsidRPr="003C3763" w:rsidRDefault="003A5E1D" w:rsidP="00CC30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763">
        <w:rPr>
          <w:rFonts w:ascii="Times New Roman" w:hAnsi="Times New Roman" w:cs="Times New Roman"/>
          <w:sz w:val="24"/>
          <w:szCs w:val="24"/>
        </w:rPr>
        <w:t xml:space="preserve">Współczynnik aktywności zawodowej mężczyzn </w:t>
      </w:r>
      <w:r w:rsidR="005F512F">
        <w:rPr>
          <w:rFonts w:ascii="Times New Roman" w:hAnsi="Times New Roman" w:cs="Times New Roman"/>
          <w:sz w:val="24"/>
          <w:szCs w:val="24"/>
        </w:rPr>
        <w:t>z</w:t>
      </w:r>
      <w:r w:rsidR="0071472A">
        <w:rPr>
          <w:rFonts w:ascii="Times New Roman" w:hAnsi="Times New Roman" w:cs="Times New Roman"/>
          <w:sz w:val="24"/>
          <w:szCs w:val="24"/>
        </w:rPr>
        <w:t xml:space="preserve"> każdym poziomem</w:t>
      </w:r>
      <w:r w:rsidRPr="003C3763">
        <w:rPr>
          <w:rFonts w:ascii="Times New Roman" w:hAnsi="Times New Roman" w:cs="Times New Roman"/>
          <w:sz w:val="24"/>
          <w:szCs w:val="24"/>
        </w:rPr>
        <w:t xml:space="preserve"> wykształcenia </w:t>
      </w:r>
      <w:r w:rsidR="00D450B8" w:rsidRPr="003C3763">
        <w:rPr>
          <w:rFonts w:ascii="Times New Roman" w:hAnsi="Times New Roman" w:cs="Times New Roman"/>
          <w:sz w:val="24"/>
          <w:szCs w:val="24"/>
        </w:rPr>
        <w:t>był</w:t>
      </w:r>
      <w:r w:rsidRPr="003C3763">
        <w:rPr>
          <w:rFonts w:ascii="Times New Roman" w:hAnsi="Times New Roman" w:cs="Times New Roman"/>
          <w:sz w:val="24"/>
          <w:szCs w:val="24"/>
        </w:rPr>
        <w:t xml:space="preserve"> wyższy niż u kobiet</w:t>
      </w:r>
      <w:r w:rsidR="00FD1106" w:rsidRPr="003C3763">
        <w:rPr>
          <w:rFonts w:ascii="Times New Roman" w:hAnsi="Times New Roman" w:cs="Times New Roman"/>
          <w:sz w:val="24"/>
          <w:szCs w:val="24"/>
        </w:rPr>
        <w:t xml:space="preserve">, największe różnice w wartości współczynnika aktywności </w:t>
      </w:r>
      <w:r w:rsidR="00936030" w:rsidRPr="003C3763">
        <w:rPr>
          <w:rFonts w:ascii="Times New Roman" w:hAnsi="Times New Roman" w:cs="Times New Roman"/>
          <w:sz w:val="24"/>
          <w:szCs w:val="24"/>
        </w:rPr>
        <w:t xml:space="preserve">zawodowej </w:t>
      </w:r>
      <w:r w:rsidR="0071472A">
        <w:rPr>
          <w:rFonts w:ascii="Times New Roman" w:hAnsi="Times New Roman" w:cs="Times New Roman"/>
          <w:sz w:val="24"/>
          <w:szCs w:val="24"/>
        </w:rPr>
        <w:t>wystąpiły</w:t>
      </w:r>
      <w:r w:rsidR="00FD1106" w:rsidRPr="003C3763">
        <w:rPr>
          <w:rFonts w:ascii="Times New Roman" w:hAnsi="Times New Roman" w:cs="Times New Roman"/>
          <w:sz w:val="24"/>
          <w:szCs w:val="24"/>
        </w:rPr>
        <w:t xml:space="preserve"> u </w:t>
      </w:r>
      <w:r w:rsidR="00B239C9" w:rsidRPr="003C3763">
        <w:rPr>
          <w:rFonts w:ascii="Times New Roman" w:hAnsi="Times New Roman" w:cs="Times New Roman"/>
          <w:sz w:val="24"/>
          <w:szCs w:val="24"/>
        </w:rPr>
        <w:t>kobiet i mężczyzn</w:t>
      </w:r>
      <w:r w:rsidR="00FD1106" w:rsidRPr="003C3763">
        <w:rPr>
          <w:rFonts w:ascii="Times New Roman" w:hAnsi="Times New Roman" w:cs="Times New Roman"/>
          <w:sz w:val="24"/>
          <w:szCs w:val="24"/>
        </w:rPr>
        <w:t xml:space="preserve"> z wykszta</w:t>
      </w:r>
      <w:r w:rsidR="003C3763">
        <w:rPr>
          <w:rFonts w:ascii="Times New Roman" w:hAnsi="Times New Roman" w:cs="Times New Roman"/>
          <w:sz w:val="24"/>
          <w:szCs w:val="24"/>
        </w:rPr>
        <w:t>łceniem zasadniczym zawodowym i </w:t>
      </w:r>
      <w:r w:rsidR="00FD1106" w:rsidRPr="003C3763">
        <w:rPr>
          <w:rFonts w:ascii="Times New Roman" w:hAnsi="Times New Roman" w:cs="Times New Roman"/>
          <w:sz w:val="24"/>
          <w:szCs w:val="24"/>
        </w:rPr>
        <w:t>niższym.</w:t>
      </w:r>
    </w:p>
    <w:p w:rsidR="00B277D5" w:rsidRPr="00CC301C" w:rsidRDefault="00271C90" w:rsidP="006C6E0F">
      <w:pPr>
        <w:pStyle w:val="Legenda"/>
        <w:ind w:left="1134" w:hanging="1134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C301C">
        <w:rPr>
          <w:rFonts w:ascii="Times New Roman" w:hAnsi="Times New Roman" w:cs="Times New Roman"/>
          <w:color w:val="auto"/>
          <w:sz w:val="20"/>
          <w:szCs w:val="22"/>
        </w:rPr>
        <w:t>Wykres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 xml:space="preserve"> 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2.3</w:t>
      </w:r>
      <w:r w:rsidRPr="00CC301C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B277D5" w:rsidRPr="00CC301C">
        <w:rPr>
          <w:rFonts w:ascii="Times New Roman" w:hAnsi="Times New Roman" w:cs="Times New Roman"/>
          <w:color w:val="auto"/>
          <w:sz w:val="20"/>
          <w:szCs w:val="22"/>
        </w:rPr>
        <w:t>Współczynnik aktywności zawodowej osób w wieku 50-69 lat według poziomu wykształcen</w:t>
      </w:r>
      <w:r w:rsidR="00D450B8" w:rsidRPr="00CC301C">
        <w:rPr>
          <w:rFonts w:ascii="Times New Roman" w:hAnsi="Times New Roman" w:cs="Times New Roman"/>
          <w:color w:val="auto"/>
          <w:sz w:val="20"/>
          <w:szCs w:val="22"/>
        </w:rPr>
        <w:t>ia, płci i miejsca zamieszkania</w:t>
      </w:r>
    </w:p>
    <w:p w:rsidR="00F90630" w:rsidRDefault="00CD0EA7" w:rsidP="000D29A7">
      <w:pPr>
        <w:rPr>
          <w:noProof/>
          <w:lang w:eastAsia="pl-PL"/>
        </w:rPr>
      </w:pPr>
      <w:r w:rsidRPr="00CD0EA7">
        <w:rPr>
          <w:noProof/>
          <w:lang w:eastAsia="pl-PL"/>
        </w:rPr>
        <w:drawing>
          <wp:inline distT="0" distB="0" distL="0" distR="0">
            <wp:extent cx="2819400" cy="2743200"/>
            <wp:effectExtent l="0" t="0" r="0" b="0"/>
            <wp:docPr id="9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CD0EA7">
        <w:rPr>
          <w:noProof/>
          <w:lang w:eastAsia="pl-PL"/>
        </w:rPr>
        <w:drawing>
          <wp:inline distT="0" distB="0" distL="0" distR="0">
            <wp:extent cx="2819400" cy="2743200"/>
            <wp:effectExtent l="0" t="0" r="0" b="0"/>
            <wp:docPr id="10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A5E1D" w:rsidRPr="00CC301C" w:rsidRDefault="003A5E1D" w:rsidP="00B239C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301C">
        <w:rPr>
          <w:rFonts w:ascii="Times New Roman" w:hAnsi="Times New Roman" w:cs="Times New Roman"/>
          <w:sz w:val="20"/>
          <w:szCs w:val="20"/>
        </w:rPr>
        <w:t>* łącznie z wykształceniem podstawowym nieukończonym i bez wykształcenia szkolnego</w:t>
      </w:r>
    </w:p>
    <w:p w:rsidR="001A0F68" w:rsidRPr="00FD6E03" w:rsidRDefault="00B239C9" w:rsidP="00CC30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E03">
        <w:rPr>
          <w:rFonts w:ascii="Times New Roman" w:hAnsi="Times New Roman" w:cs="Times New Roman"/>
          <w:sz w:val="24"/>
          <w:szCs w:val="24"/>
        </w:rPr>
        <w:lastRenderedPageBreak/>
        <w:t xml:space="preserve">Aktywność zawodowa mieszkańców miast i wsi kształtuje się na zbliżonym poziomie, </w:t>
      </w:r>
      <w:r w:rsidR="009A28A5" w:rsidRPr="00FD6E03">
        <w:rPr>
          <w:rFonts w:ascii="Times New Roman" w:hAnsi="Times New Roman" w:cs="Times New Roman"/>
          <w:sz w:val="24"/>
          <w:szCs w:val="24"/>
        </w:rPr>
        <w:t>przy czym mieszkańcy wsi w omawianej grupie wiekowej wyróżniali się wyższym poziomem aktywności zawodowej.</w:t>
      </w:r>
    </w:p>
    <w:p w:rsidR="008C3A9E" w:rsidRPr="00CC301C" w:rsidRDefault="00271C90" w:rsidP="00271C90">
      <w:pPr>
        <w:pStyle w:val="Legenda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C301C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2.3</w:t>
      </w:r>
      <w:r w:rsidRPr="00CC301C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8C3A9E" w:rsidRPr="00CC301C">
        <w:rPr>
          <w:rFonts w:ascii="Times New Roman" w:hAnsi="Times New Roman" w:cs="Times New Roman"/>
          <w:color w:val="auto"/>
          <w:sz w:val="20"/>
          <w:szCs w:val="22"/>
        </w:rPr>
        <w:t>Aktywność zawodowa ludności w wi</w:t>
      </w:r>
      <w:r w:rsidR="00177805" w:rsidRPr="00CC301C">
        <w:rPr>
          <w:rFonts w:ascii="Times New Roman" w:hAnsi="Times New Roman" w:cs="Times New Roman"/>
          <w:color w:val="auto"/>
          <w:sz w:val="20"/>
          <w:szCs w:val="22"/>
        </w:rPr>
        <w:t>eku 50-69 lat według województw</w:t>
      </w:r>
    </w:p>
    <w:tbl>
      <w:tblPr>
        <w:tblW w:w="882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540"/>
        <w:gridCol w:w="1036"/>
        <w:gridCol w:w="1417"/>
        <w:gridCol w:w="1539"/>
        <w:gridCol w:w="748"/>
        <w:gridCol w:w="1540"/>
      </w:tblGrid>
      <w:tr w:rsidR="008C3A9E" w:rsidRPr="00FD6E03" w:rsidTr="007632B1">
        <w:trPr>
          <w:trHeight w:val="285"/>
        </w:trPr>
        <w:tc>
          <w:tcPr>
            <w:tcW w:w="2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8C3A9E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A9E" w:rsidRPr="00FD6E03" w:rsidRDefault="008C3A9E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Aktywni zawodowo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8C3A9E" w:rsidRPr="00FD6E03" w:rsidRDefault="008C3A9E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Współczynnik aktywności zawodowej</w:t>
            </w:r>
          </w:p>
        </w:tc>
      </w:tr>
      <w:tr w:rsidR="008C3A9E" w:rsidRPr="00FD6E03" w:rsidTr="007632B1">
        <w:trPr>
          <w:trHeight w:val="450"/>
        </w:trPr>
        <w:tc>
          <w:tcPr>
            <w:tcW w:w="2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8C3A9E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8C3A9E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Pracujący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8C3A9E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Bezrobotni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C3A9E" w:rsidRPr="00FD6E03" w:rsidTr="00B44BA1">
        <w:trPr>
          <w:trHeight w:val="285"/>
        </w:trPr>
        <w:tc>
          <w:tcPr>
            <w:tcW w:w="2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1A0F68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8C3A9E"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tys.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A9E" w:rsidRPr="00FD6E03" w:rsidRDefault="00490C65" w:rsidP="008C3A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8C3A9E"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4221,6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3809,8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411,8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45,4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Dolnośląskie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297,5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40,3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45,0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Kujawsko-pomorskie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197,4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43,4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Lubelskie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215,3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45,7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Lubuskie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100,4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44,8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Łódzkie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270,3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31,3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44,9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Małopolskie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320,3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47,1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Mazowieckie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636,1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582,2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50,2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Opolskie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95,7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45,2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199,2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47,7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Podlaskie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114,5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48,0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Pomorskie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219,8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46,0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Śląskie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420,9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46,9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39,4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Świętokrzyskie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129,9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45,3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Warmińsko-mazurskie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129,3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44,0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Wielkopolskie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344,1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45,3</w:t>
            </w:r>
          </w:p>
        </w:tc>
      </w:tr>
      <w:tr w:rsidR="008C3A9E" w:rsidRPr="00FD6E03" w:rsidTr="00876AEC">
        <w:trPr>
          <w:trHeight w:val="285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C3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Zachodniopomorskie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173,1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3A9E" w:rsidRPr="00FD6E03" w:rsidRDefault="008C3A9E" w:rsidP="00876AE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6E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44,9</w:t>
            </w:r>
          </w:p>
        </w:tc>
      </w:tr>
    </w:tbl>
    <w:p w:rsidR="008C3A9E" w:rsidRPr="003E585C" w:rsidRDefault="008C3A9E" w:rsidP="003E585C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D6E03" w:rsidRDefault="00FD6E03" w:rsidP="00CC30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Populacja ludności aktywnej zawodowo była zróżnicowana terytor</w:t>
      </w:r>
      <w:r w:rsidR="00CA70EC">
        <w:rPr>
          <w:rFonts w:ascii="Times New Roman" w:hAnsi="Times New Roman" w:cs="Times New Roman"/>
          <w:sz w:val="24"/>
          <w:szCs w:val="24"/>
        </w:rPr>
        <w:t>ialnie, co wynika z </w:t>
      </w:r>
      <w:r>
        <w:rPr>
          <w:rFonts w:ascii="Times New Roman" w:hAnsi="Times New Roman" w:cs="Times New Roman"/>
          <w:sz w:val="24"/>
          <w:szCs w:val="24"/>
        </w:rPr>
        <w:t>liczby ludności w województwach.</w:t>
      </w:r>
      <w:r w:rsidR="002E11F1">
        <w:rPr>
          <w:rFonts w:ascii="Times New Roman" w:hAnsi="Times New Roman" w:cs="Times New Roman"/>
          <w:sz w:val="24"/>
          <w:szCs w:val="24"/>
        </w:rPr>
        <w:t xml:space="preserve"> </w:t>
      </w:r>
      <w:r w:rsidR="00051DA9">
        <w:rPr>
          <w:rFonts w:ascii="Times New Roman" w:hAnsi="Times New Roman" w:cs="Times New Roman"/>
          <w:sz w:val="24"/>
          <w:szCs w:val="24"/>
        </w:rPr>
        <w:t xml:space="preserve">Największe zasoby aktywnych zawodowo w grupie osób w wieku 50-69 lat wystąpiły w województwach mazowieckim i śląskim, najmniejsze zaś w województwach lubuskim i podlaskim. Różna była </w:t>
      </w:r>
      <w:r w:rsidR="00F1353D">
        <w:rPr>
          <w:rFonts w:ascii="Times New Roman" w:hAnsi="Times New Roman" w:cs="Times New Roman"/>
          <w:sz w:val="24"/>
          <w:szCs w:val="24"/>
        </w:rPr>
        <w:t>także</w:t>
      </w:r>
      <w:r w:rsidR="00051DA9">
        <w:rPr>
          <w:rFonts w:ascii="Times New Roman" w:hAnsi="Times New Roman" w:cs="Times New Roman"/>
          <w:sz w:val="24"/>
          <w:szCs w:val="24"/>
        </w:rPr>
        <w:t xml:space="preserve"> wewnętr</w:t>
      </w:r>
      <w:r w:rsidR="0071472A">
        <w:rPr>
          <w:rFonts w:ascii="Times New Roman" w:hAnsi="Times New Roman" w:cs="Times New Roman"/>
          <w:sz w:val="24"/>
          <w:szCs w:val="24"/>
        </w:rPr>
        <w:t>zna struktura tej populacji</w:t>
      </w:r>
      <w:r w:rsidR="00051DA9">
        <w:rPr>
          <w:rFonts w:ascii="Times New Roman" w:hAnsi="Times New Roman" w:cs="Times New Roman"/>
          <w:sz w:val="24"/>
          <w:szCs w:val="24"/>
        </w:rPr>
        <w:t xml:space="preserve"> ze względu na odsetek pracujących i bezrobotnych.</w:t>
      </w:r>
      <w:r w:rsidR="00CA70EC">
        <w:rPr>
          <w:rFonts w:ascii="Times New Roman" w:hAnsi="Times New Roman" w:cs="Times New Roman"/>
          <w:sz w:val="24"/>
          <w:szCs w:val="24"/>
        </w:rPr>
        <w:t xml:space="preserve"> Województwami, w </w:t>
      </w:r>
      <w:r w:rsidR="00F1353D">
        <w:rPr>
          <w:rFonts w:ascii="Times New Roman" w:hAnsi="Times New Roman" w:cs="Times New Roman"/>
          <w:sz w:val="24"/>
          <w:szCs w:val="24"/>
        </w:rPr>
        <w:t xml:space="preserve">których wśród ludności aktywnej zawodowo wystąpił </w:t>
      </w:r>
      <w:r w:rsidR="00CA70EC">
        <w:rPr>
          <w:rFonts w:ascii="Times New Roman" w:hAnsi="Times New Roman" w:cs="Times New Roman"/>
          <w:sz w:val="24"/>
          <w:szCs w:val="24"/>
        </w:rPr>
        <w:t>najwyższy odsetek pracujących i </w:t>
      </w:r>
      <w:r w:rsidR="00F1353D">
        <w:rPr>
          <w:rFonts w:ascii="Times New Roman" w:hAnsi="Times New Roman" w:cs="Times New Roman"/>
          <w:sz w:val="24"/>
          <w:szCs w:val="24"/>
        </w:rPr>
        <w:t xml:space="preserve">równocześnie najniższy odsetek bezrobotnych, były województwa małopolskie (92,6% </w:t>
      </w:r>
      <w:r w:rsidR="00CA70EC">
        <w:rPr>
          <w:rFonts w:ascii="Times New Roman" w:hAnsi="Times New Roman" w:cs="Times New Roman"/>
          <w:sz w:val="24"/>
          <w:szCs w:val="24"/>
        </w:rPr>
        <w:t>i </w:t>
      </w:r>
      <w:r w:rsidR="0071472A">
        <w:rPr>
          <w:rFonts w:ascii="Times New Roman" w:hAnsi="Times New Roman" w:cs="Times New Roman"/>
          <w:sz w:val="24"/>
          <w:szCs w:val="24"/>
        </w:rPr>
        <w:t>7,4%) i </w:t>
      </w:r>
      <w:r w:rsidR="00F1353D">
        <w:rPr>
          <w:rFonts w:ascii="Times New Roman" w:hAnsi="Times New Roman" w:cs="Times New Roman"/>
          <w:sz w:val="24"/>
          <w:szCs w:val="24"/>
        </w:rPr>
        <w:t>wielkopolskie (92,4% i 7,6%). Natomiast województwami, w których wystąpił najniższy udział pracujących i jednocześnie najwyższy udział bezrobotnych były województwa warmińsko-mazurskie oraz zachodniopomorskie (w obu 87,0% i 13,0%).</w:t>
      </w:r>
    </w:p>
    <w:p w:rsidR="00F1353D" w:rsidRDefault="004E1F4B" w:rsidP="00CC30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448">
        <w:rPr>
          <w:rFonts w:ascii="Times New Roman" w:hAnsi="Times New Roman" w:cs="Times New Roman"/>
          <w:sz w:val="24"/>
          <w:szCs w:val="24"/>
        </w:rPr>
        <w:t xml:space="preserve">Współczynnik aktywności zawodowej w </w:t>
      </w:r>
      <w:r w:rsidR="009A685B" w:rsidRPr="00260448">
        <w:rPr>
          <w:rFonts w:ascii="Times New Roman" w:hAnsi="Times New Roman" w:cs="Times New Roman"/>
          <w:sz w:val="24"/>
          <w:szCs w:val="24"/>
        </w:rPr>
        <w:t>omawianej grupie wiekowej wyniósł</w:t>
      </w:r>
      <w:r w:rsidR="0071472A">
        <w:rPr>
          <w:rFonts w:ascii="Times New Roman" w:hAnsi="Times New Roman" w:cs="Times New Roman"/>
          <w:sz w:val="24"/>
          <w:szCs w:val="24"/>
        </w:rPr>
        <w:t xml:space="preserve"> 45,4%, </w:t>
      </w:r>
      <w:r w:rsidR="009603DC" w:rsidRPr="00260448">
        <w:rPr>
          <w:rFonts w:ascii="Times New Roman" w:hAnsi="Times New Roman" w:cs="Times New Roman"/>
          <w:sz w:val="24"/>
          <w:szCs w:val="24"/>
        </w:rPr>
        <w:t xml:space="preserve">w </w:t>
      </w:r>
      <w:r w:rsidRPr="00260448">
        <w:rPr>
          <w:rFonts w:ascii="Times New Roman" w:hAnsi="Times New Roman" w:cs="Times New Roman"/>
          <w:sz w:val="24"/>
          <w:szCs w:val="24"/>
        </w:rPr>
        <w:t xml:space="preserve">10 województwach był </w:t>
      </w:r>
      <w:r w:rsidR="009603DC" w:rsidRPr="00260448">
        <w:rPr>
          <w:rFonts w:ascii="Times New Roman" w:hAnsi="Times New Roman" w:cs="Times New Roman"/>
          <w:sz w:val="24"/>
          <w:szCs w:val="24"/>
        </w:rPr>
        <w:t xml:space="preserve">on </w:t>
      </w:r>
      <w:r w:rsidRPr="00260448">
        <w:rPr>
          <w:rFonts w:ascii="Times New Roman" w:hAnsi="Times New Roman" w:cs="Times New Roman"/>
          <w:sz w:val="24"/>
          <w:szCs w:val="24"/>
        </w:rPr>
        <w:t>niższy</w:t>
      </w:r>
      <w:r w:rsidR="009A685B" w:rsidRPr="00260448">
        <w:rPr>
          <w:rFonts w:ascii="Times New Roman" w:hAnsi="Times New Roman" w:cs="Times New Roman"/>
          <w:sz w:val="24"/>
          <w:szCs w:val="24"/>
        </w:rPr>
        <w:t>.</w:t>
      </w:r>
      <w:r w:rsidRPr="00260448">
        <w:rPr>
          <w:rFonts w:ascii="Times New Roman" w:hAnsi="Times New Roman" w:cs="Times New Roman"/>
          <w:sz w:val="24"/>
          <w:szCs w:val="24"/>
        </w:rPr>
        <w:t xml:space="preserve"> </w:t>
      </w:r>
      <w:r w:rsidR="007B455B" w:rsidRPr="00260448">
        <w:rPr>
          <w:rFonts w:ascii="Times New Roman" w:hAnsi="Times New Roman" w:cs="Times New Roman"/>
          <w:sz w:val="24"/>
          <w:szCs w:val="24"/>
        </w:rPr>
        <w:t>Najniższa</w:t>
      </w:r>
      <w:r w:rsidR="007B455B">
        <w:rPr>
          <w:rFonts w:ascii="Times New Roman" w:hAnsi="Times New Roman" w:cs="Times New Roman"/>
          <w:sz w:val="24"/>
          <w:szCs w:val="24"/>
        </w:rPr>
        <w:t xml:space="preserve"> wartość współczynnika aktywności</w:t>
      </w:r>
      <w:r w:rsidR="003310FA">
        <w:rPr>
          <w:rFonts w:ascii="Times New Roman" w:hAnsi="Times New Roman" w:cs="Times New Roman"/>
          <w:sz w:val="24"/>
          <w:szCs w:val="24"/>
        </w:rPr>
        <w:t xml:space="preserve"> zawodowej</w:t>
      </w:r>
      <w:r w:rsidR="007B455B">
        <w:rPr>
          <w:rFonts w:ascii="Times New Roman" w:hAnsi="Times New Roman" w:cs="Times New Roman"/>
          <w:sz w:val="24"/>
          <w:szCs w:val="24"/>
        </w:rPr>
        <w:t xml:space="preserve"> w populacji osób 50-69 lat była w wojewód</w:t>
      </w:r>
      <w:r w:rsidR="0071472A">
        <w:rPr>
          <w:rFonts w:ascii="Times New Roman" w:hAnsi="Times New Roman" w:cs="Times New Roman"/>
          <w:sz w:val="24"/>
          <w:szCs w:val="24"/>
        </w:rPr>
        <w:t>ztwie śląskim. Województwami, w </w:t>
      </w:r>
      <w:r w:rsidR="007B455B">
        <w:rPr>
          <w:rFonts w:ascii="Times New Roman" w:hAnsi="Times New Roman" w:cs="Times New Roman"/>
          <w:sz w:val="24"/>
          <w:szCs w:val="24"/>
        </w:rPr>
        <w:t xml:space="preserve">których wskaźnik ten był na najwyższym poziomie </w:t>
      </w:r>
      <w:r w:rsidR="0071472A">
        <w:rPr>
          <w:rFonts w:ascii="Times New Roman" w:hAnsi="Times New Roman" w:cs="Times New Roman"/>
          <w:sz w:val="24"/>
          <w:szCs w:val="24"/>
        </w:rPr>
        <w:t>były województwa: mazowieckie i </w:t>
      </w:r>
      <w:r w:rsidR="007B455B">
        <w:rPr>
          <w:rFonts w:ascii="Times New Roman" w:hAnsi="Times New Roman" w:cs="Times New Roman"/>
          <w:sz w:val="24"/>
          <w:szCs w:val="24"/>
        </w:rPr>
        <w:t>podlaskie.</w:t>
      </w:r>
    </w:p>
    <w:p w:rsidR="003E585C" w:rsidRPr="00177805" w:rsidRDefault="00675E7E" w:rsidP="003E585C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2.</w:t>
      </w:r>
      <w:r w:rsidR="006D1732">
        <w:rPr>
          <w:rFonts w:ascii="Times New Roman" w:hAnsi="Times New Roman" w:cs="Times New Roman"/>
          <w:b/>
          <w:sz w:val="28"/>
          <w:szCs w:val="24"/>
        </w:rPr>
        <w:t>2</w:t>
      </w:r>
      <w:r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3E585C" w:rsidRPr="00177805">
        <w:rPr>
          <w:rFonts w:ascii="Times New Roman" w:hAnsi="Times New Roman" w:cs="Times New Roman"/>
          <w:b/>
          <w:sz w:val="28"/>
          <w:szCs w:val="24"/>
        </w:rPr>
        <w:t xml:space="preserve">Pracujący </w:t>
      </w:r>
      <w:r w:rsidR="00177805" w:rsidRPr="00177805">
        <w:rPr>
          <w:rFonts w:ascii="Times New Roman" w:hAnsi="Times New Roman" w:cs="Times New Roman"/>
          <w:b/>
          <w:sz w:val="28"/>
          <w:szCs w:val="24"/>
        </w:rPr>
        <w:t>w wieku 50-69 lat</w:t>
      </w:r>
    </w:p>
    <w:p w:rsidR="003E585C" w:rsidRDefault="00BF7E14" w:rsidP="00CC30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Spośród</w:t>
      </w:r>
      <w:r w:rsidR="003E585C">
        <w:rPr>
          <w:rFonts w:ascii="Times New Roman" w:hAnsi="Times New Roman" w:cs="Times New Roman"/>
          <w:sz w:val="24"/>
          <w:szCs w:val="24"/>
        </w:rPr>
        <w:t xml:space="preserve"> osób w wieku 50-69 lat było 3 809,8 tys. pracujących</w:t>
      </w:r>
      <w:r w:rsidR="00310D3C">
        <w:rPr>
          <w:rFonts w:ascii="Times New Roman" w:hAnsi="Times New Roman" w:cs="Times New Roman"/>
          <w:sz w:val="24"/>
          <w:szCs w:val="24"/>
        </w:rPr>
        <w:t xml:space="preserve"> (</w:t>
      </w:r>
      <w:r w:rsidR="003E585C">
        <w:rPr>
          <w:rFonts w:ascii="Times New Roman" w:hAnsi="Times New Roman" w:cs="Times New Roman"/>
          <w:sz w:val="24"/>
          <w:szCs w:val="24"/>
        </w:rPr>
        <w:t xml:space="preserve">25,3% ogółu pracujących </w:t>
      </w:r>
      <w:r>
        <w:rPr>
          <w:rFonts w:ascii="Times New Roman" w:hAnsi="Times New Roman" w:cs="Times New Roman"/>
          <w:sz w:val="24"/>
          <w:szCs w:val="24"/>
        </w:rPr>
        <w:t xml:space="preserve">w wieku </w:t>
      </w:r>
      <w:r w:rsidR="003E585C">
        <w:rPr>
          <w:rFonts w:ascii="Times New Roman" w:hAnsi="Times New Roman" w:cs="Times New Roman"/>
          <w:sz w:val="24"/>
          <w:szCs w:val="24"/>
        </w:rPr>
        <w:t xml:space="preserve">15 </w:t>
      </w:r>
      <w:r w:rsidR="00AD0AAC">
        <w:rPr>
          <w:rFonts w:ascii="Times New Roman" w:hAnsi="Times New Roman" w:cs="Times New Roman"/>
          <w:sz w:val="24"/>
          <w:szCs w:val="24"/>
        </w:rPr>
        <w:t>lat i więcej</w:t>
      </w:r>
      <w:r w:rsidR="00310D3C">
        <w:rPr>
          <w:rFonts w:ascii="Times New Roman" w:hAnsi="Times New Roman" w:cs="Times New Roman"/>
          <w:sz w:val="24"/>
          <w:szCs w:val="24"/>
        </w:rPr>
        <w:t>)</w:t>
      </w:r>
      <w:r w:rsidR="003E585C">
        <w:rPr>
          <w:rFonts w:ascii="Times New Roman" w:hAnsi="Times New Roman" w:cs="Times New Roman"/>
          <w:sz w:val="24"/>
          <w:szCs w:val="24"/>
        </w:rPr>
        <w:t>. Pod względem płci przeważali mężczyźni, których było 56,2%. W przeważającej większości pracujący byli mieszkańcami miast (63,2%).</w:t>
      </w:r>
    </w:p>
    <w:p w:rsidR="003E585C" w:rsidRPr="00CC301C" w:rsidRDefault="003E585C" w:rsidP="00CC301C">
      <w:pPr>
        <w:pStyle w:val="Legenda"/>
        <w:spacing w:after="60"/>
        <w:rPr>
          <w:rFonts w:ascii="Times New Roman" w:hAnsi="Times New Roman" w:cs="Times New Roman"/>
          <w:color w:val="auto"/>
          <w:sz w:val="20"/>
          <w:szCs w:val="22"/>
        </w:rPr>
      </w:pPr>
      <w:r w:rsidRPr="00CC301C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2.4</w:t>
      </w:r>
      <w:r w:rsidRPr="00CC301C">
        <w:rPr>
          <w:rFonts w:ascii="Times New Roman" w:hAnsi="Times New Roman" w:cs="Times New Roman"/>
          <w:color w:val="auto"/>
          <w:sz w:val="20"/>
          <w:szCs w:val="22"/>
        </w:rPr>
        <w:t>. Pracujący w wieku 50-69 lat według płci, miejsca zamieszkania i grup wieku</w:t>
      </w:r>
    </w:p>
    <w:tbl>
      <w:tblPr>
        <w:tblW w:w="8758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1716"/>
        <w:gridCol w:w="470"/>
        <w:gridCol w:w="1314"/>
        <w:gridCol w:w="1314"/>
        <w:gridCol w:w="1314"/>
        <w:gridCol w:w="1314"/>
        <w:gridCol w:w="1316"/>
      </w:tblGrid>
      <w:tr w:rsidR="003E585C" w:rsidRPr="003310FA" w:rsidTr="00490C65">
        <w:trPr>
          <w:trHeight w:val="254"/>
          <w:jc w:val="center"/>
        </w:trPr>
        <w:tc>
          <w:tcPr>
            <w:tcW w:w="218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Wyszczególnienie:</w:t>
            </w: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  O</w:t>
            </w:r>
            <w:r w:rsidR="006503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  M</w:t>
            </w:r>
            <w:r w:rsidR="006503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  K</w:t>
            </w:r>
            <w:r w:rsidR="006503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5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Wiek (w latach)</w:t>
            </w:r>
          </w:p>
        </w:tc>
      </w:tr>
      <w:tr w:rsidR="003E585C" w:rsidRPr="003310FA" w:rsidTr="003E585C">
        <w:trPr>
          <w:trHeight w:val="977"/>
          <w:jc w:val="center"/>
        </w:trPr>
        <w:tc>
          <w:tcPr>
            <w:tcW w:w="218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50 - 54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55 - 59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60 - 64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65 - 69</w:t>
            </w:r>
          </w:p>
        </w:tc>
      </w:tr>
      <w:tr w:rsidR="003E585C" w:rsidRPr="003310FA" w:rsidTr="00490C65">
        <w:trPr>
          <w:trHeight w:val="254"/>
          <w:jc w:val="center"/>
        </w:trPr>
        <w:tc>
          <w:tcPr>
            <w:tcW w:w="218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22500E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22500E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22500E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3809,8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22500E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1853,8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22500E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1315,5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22500E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496,9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22500E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143,6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2141,3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948,9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780,3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324,8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87,3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1668,5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904,9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535,2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172,1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56,3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2409,1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1142,1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859,1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325,6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82,4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1309,9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552,9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490,3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214,6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52,1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1099,2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589,2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368,7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111,0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30,4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1400,7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711,8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456,4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171,3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61,2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831,4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396,0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290,0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35,2</w:t>
            </w:r>
          </w:p>
        </w:tc>
      </w:tr>
      <w:tr w:rsidR="003E585C" w:rsidRPr="003310FA" w:rsidTr="003E585C">
        <w:trPr>
          <w:trHeight w:val="254"/>
          <w:jc w:val="center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85C" w:rsidRPr="003310FA" w:rsidRDefault="003E585C" w:rsidP="00791B5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569,3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315,7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166,4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5C" w:rsidRPr="003310FA" w:rsidRDefault="003E585C" w:rsidP="00791B5D">
            <w:pPr>
              <w:keepNext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3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26,0</w:t>
            </w:r>
          </w:p>
        </w:tc>
      </w:tr>
    </w:tbl>
    <w:p w:rsidR="003E585C" w:rsidRPr="003E585C" w:rsidRDefault="003E585C" w:rsidP="0065037C">
      <w:pPr>
        <w:spacing w:before="120" w:after="24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85C">
        <w:rPr>
          <w:rFonts w:ascii="Times New Roman" w:hAnsi="Times New Roman" w:cs="Times New Roman"/>
          <w:sz w:val="24"/>
          <w:szCs w:val="24"/>
        </w:rPr>
        <w:t>W podziale na 5-letnie grupy wiekowe liczba pracujących była największa w najmłodszej grupie i malała wraz z wiekiem, co oczywiście wiąże się z przechodzeniem ludzi na emeryturę, a niższe progi emerytalne dla kobiet sprawiają, że ten spadek jest już bardzo duży między przedziałami wiekowymi 50-54 i 55-59 lat.</w:t>
      </w:r>
    </w:p>
    <w:p w:rsidR="003E585C" w:rsidRPr="00CC301C" w:rsidRDefault="003E585C" w:rsidP="00177805">
      <w:pPr>
        <w:pStyle w:val="Legenda"/>
        <w:spacing w:after="0"/>
        <w:rPr>
          <w:rFonts w:ascii="Times New Roman" w:hAnsi="Times New Roman" w:cs="Times New Roman"/>
          <w:color w:val="auto"/>
          <w:sz w:val="20"/>
          <w:szCs w:val="22"/>
        </w:rPr>
      </w:pPr>
      <w:r w:rsidRPr="00CC301C">
        <w:rPr>
          <w:rFonts w:ascii="Times New Roman" w:hAnsi="Times New Roman" w:cs="Times New Roman"/>
          <w:color w:val="auto"/>
          <w:sz w:val="20"/>
          <w:szCs w:val="22"/>
        </w:rPr>
        <w:t>Wykres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 xml:space="preserve"> 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2.4</w:t>
      </w:r>
      <w:r w:rsidRPr="00CC301C">
        <w:rPr>
          <w:rFonts w:ascii="Times New Roman" w:hAnsi="Times New Roman" w:cs="Times New Roman"/>
          <w:color w:val="auto"/>
          <w:sz w:val="20"/>
          <w:szCs w:val="22"/>
        </w:rPr>
        <w:t>. Wskaźnik zatrudnienia osób w wieku 50-69 lat wg województw</w:t>
      </w:r>
    </w:p>
    <w:p w:rsidR="003E585C" w:rsidRDefault="003E585C" w:rsidP="003E58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F0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43575" cy="3276600"/>
            <wp:effectExtent l="0" t="0" r="0" b="0"/>
            <wp:docPr id="12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E585C" w:rsidRDefault="003E585C" w:rsidP="00254B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6BFB">
        <w:rPr>
          <w:rFonts w:ascii="Times New Roman" w:hAnsi="Times New Roman" w:cs="Times New Roman"/>
          <w:sz w:val="24"/>
          <w:szCs w:val="24"/>
        </w:rPr>
        <w:lastRenderedPageBreak/>
        <w:t xml:space="preserve">Wskaźnik zatrudnienia dla osób </w:t>
      </w:r>
      <w:r>
        <w:rPr>
          <w:rFonts w:ascii="Times New Roman" w:hAnsi="Times New Roman" w:cs="Times New Roman"/>
          <w:sz w:val="24"/>
          <w:szCs w:val="24"/>
        </w:rPr>
        <w:t xml:space="preserve">w wieku 50-69 lat </w:t>
      </w:r>
      <w:r w:rsidRPr="00886BFB">
        <w:rPr>
          <w:rFonts w:ascii="Times New Roman" w:hAnsi="Times New Roman" w:cs="Times New Roman"/>
          <w:sz w:val="24"/>
          <w:szCs w:val="24"/>
        </w:rPr>
        <w:t>wynosił w Polsce 41,2%</w:t>
      </w:r>
      <w:r>
        <w:rPr>
          <w:rFonts w:ascii="Times New Roman" w:hAnsi="Times New Roman" w:cs="Times New Roman"/>
          <w:sz w:val="24"/>
          <w:szCs w:val="24"/>
        </w:rPr>
        <w:t xml:space="preserve"> i był o 7,3 p.</w:t>
      </w:r>
      <w:r w:rsidR="00254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proc. niższy niż wskaźnik dla wszystkich osób </w:t>
      </w:r>
      <w:r w:rsidR="00AD0AAC">
        <w:rPr>
          <w:rFonts w:ascii="Times New Roman" w:hAnsi="Times New Roman" w:cs="Times New Roman"/>
          <w:sz w:val="24"/>
          <w:szCs w:val="24"/>
        </w:rPr>
        <w:t>w wieku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="00AD0AAC">
        <w:rPr>
          <w:rFonts w:ascii="Times New Roman" w:hAnsi="Times New Roman" w:cs="Times New Roman"/>
          <w:sz w:val="24"/>
          <w:szCs w:val="24"/>
        </w:rPr>
        <w:t xml:space="preserve"> lat i więcej</w:t>
      </w:r>
      <w:r w:rsidRPr="00886BFB">
        <w:rPr>
          <w:rFonts w:ascii="Times New Roman" w:hAnsi="Times New Roman" w:cs="Times New Roman"/>
          <w:sz w:val="24"/>
          <w:szCs w:val="24"/>
        </w:rPr>
        <w:t>, z czego najwyższą wartość prz</w:t>
      </w:r>
      <w:r>
        <w:rPr>
          <w:rFonts w:ascii="Times New Roman" w:hAnsi="Times New Roman" w:cs="Times New Roman"/>
          <w:sz w:val="24"/>
          <w:szCs w:val="24"/>
        </w:rPr>
        <w:t>yjął w województwie mazowieckim,</w:t>
      </w:r>
      <w:r w:rsidRPr="00886BFB">
        <w:rPr>
          <w:rFonts w:ascii="Times New Roman" w:hAnsi="Times New Roman" w:cs="Times New Roman"/>
          <w:sz w:val="24"/>
          <w:szCs w:val="24"/>
        </w:rPr>
        <w:t xml:space="preserve"> a n</w:t>
      </w:r>
      <w:r>
        <w:rPr>
          <w:rFonts w:ascii="Times New Roman" w:hAnsi="Times New Roman" w:cs="Times New Roman"/>
          <w:sz w:val="24"/>
          <w:szCs w:val="24"/>
        </w:rPr>
        <w:t xml:space="preserve">ajniższą w województwie śląskim. </w:t>
      </w:r>
      <w:r w:rsidR="003027A9">
        <w:rPr>
          <w:rFonts w:ascii="Times New Roman" w:hAnsi="Times New Roman" w:cs="Times New Roman"/>
          <w:sz w:val="24"/>
          <w:szCs w:val="24"/>
        </w:rPr>
        <w:t>Wskaźnik zatrudnienia</w:t>
      </w:r>
      <w:r w:rsidRPr="00886BFB">
        <w:rPr>
          <w:rFonts w:ascii="Times New Roman" w:hAnsi="Times New Roman" w:cs="Times New Roman"/>
          <w:sz w:val="24"/>
          <w:szCs w:val="24"/>
        </w:rPr>
        <w:t xml:space="preserve"> ze względu na </w:t>
      </w:r>
      <w:r>
        <w:rPr>
          <w:rFonts w:ascii="Times New Roman" w:hAnsi="Times New Roman" w:cs="Times New Roman"/>
          <w:sz w:val="24"/>
          <w:szCs w:val="24"/>
        </w:rPr>
        <w:t>inny próg emerytalny</w:t>
      </w:r>
      <w:r w:rsidR="0071472A">
        <w:rPr>
          <w:rFonts w:ascii="Times New Roman" w:hAnsi="Times New Roman" w:cs="Times New Roman"/>
          <w:sz w:val="24"/>
          <w:szCs w:val="24"/>
        </w:rPr>
        <w:t xml:space="preserve"> mężczyzn i kobiet</w:t>
      </w:r>
      <w:r>
        <w:rPr>
          <w:rFonts w:ascii="Times New Roman" w:hAnsi="Times New Roman" w:cs="Times New Roman"/>
          <w:sz w:val="24"/>
          <w:szCs w:val="24"/>
        </w:rPr>
        <w:t xml:space="preserve"> był znacznie zró</w:t>
      </w:r>
      <w:r w:rsidR="003027A9">
        <w:rPr>
          <w:rFonts w:ascii="Times New Roman" w:hAnsi="Times New Roman" w:cs="Times New Roman"/>
          <w:sz w:val="24"/>
          <w:szCs w:val="24"/>
        </w:rPr>
        <w:t>żnicowany względem płci.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7A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ynosił odpowiednio 34,0% dla kobiet i 49,2% dla mężczyzn. Na obszarach wiejskich był wyższy o 3,4 p.</w:t>
      </w:r>
      <w:r w:rsidR="003A1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proc. niż w miastach i wynosił 43,4%. </w:t>
      </w:r>
    </w:p>
    <w:p w:rsidR="003E585C" w:rsidRPr="00254B37" w:rsidRDefault="003E585C" w:rsidP="003E585C">
      <w:pPr>
        <w:pStyle w:val="Legenda"/>
        <w:rPr>
          <w:rFonts w:ascii="Times New Roman" w:hAnsi="Times New Roman" w:cs="Times New Roman"/>
          <w:color w:val="auto"/>
          <w:sz w:val="20"/>
          <w:szCs w:val="22"/>
        </w:rPr>
      </w:pPr>
      <w:r w:rsidRPr="00254B37">
        <w:rPr>
          <w:rFonts w:ascii="Times New Roman" w:hAnsi="Times New Roman" w:cs="Times New Roman"/>
          <w:color w:val="auto"/>
          <w:sz w:val="20"/>
          <w:szCs w:val="22"/>
        </w:rPr>
        <w:t>Wykres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 xml:space="preserve"> 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2.5</w:t>
      </w:r>
      <w:r w:rsidRPr="00254B37">
        <w:rPr>
          <w:rFonts w:ascii="Times New Roman" w:hAnsi="Times New Roman" w:cs="Times New Roman"/>
          <w:color w:val="auto"/>
          <w:sz w:val="20"/>
          <w:szCs w:val="22"/>
        </w:rPr>
        <w:t>. Pracujący w wieku 50-69 lat według statusu zatrudnienia</w:t>
      </w:r>
    </w:p>
    <w:p w:rsidR="003E585C" w:rsidRPr="003E585C" w:rsidRDefault="00254B37" w:rsidP="00254B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31115</wp:posOffset>
            </wp:positionV>
            <wp:extent cx="3831590" cy="1676400"/>
            <wp:effectExtent l="19050" t="0" r="16510" b="0"/>
            <wp:wrapTight wrapText="bothSides">
              <wp:wrapPolygon edited="0">
                <wp:start x="-107" y="0"/>
                <wp:lineTo x="-107" y="21600"/>
                <wp:lineTo x="21693" y="21600"/>
                <wp:lineTo x="21693" y="0"/>
                <wp:lineTo x="-107" y="0"/>
              </wp:wrapPolygon>
            </wp:wrapTight>
            <wp:docPr id="1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3E585C">
        <w:rPr>
          <w:rFonts w:ascii="Times New Roman" w:hAnsi="Times New Roman" w:cs="Times New Roman"/>
          <w:sz w:val="24"/>
          <w:szCs w:val="24"/>
        </w:rPr>
        <w:t>Pod względ</w:t>
      </w:r>
      <w:r w:rsidR="0071472A">
        <w:rPr>
          <w:rFonts w:ascii="Times New Roman" w:hAnsi="Times New Roman" w:cs="Times New Roman"/>
          <w:sz w:val="24"/>
          <w:szCs w:val="24"/>
        </w:rPr>
        <w:t>em statusu zatrudnienia 2 664,2 </w:t>
      </w:r>
      <w:r w:rsidR="003E585C">
        <w:rPr>
          <w:rFonts w:ascii="Times New Roman" w:hAnsi="Times New Roman" w:cs="Times New Roman"/>
          <w:sz w:val="24"/>
          <w:szCs w:val="24"/>
        </w:rPr>
        <w:t>tys. osób pracowało najemnie (w </w:t>
      </w:r>
      <w:r w:rsidR="003027A9">
        <w:rPr>
          <w:rFonts w:ascii="Times New Roman" w:hAnsi="Times New Roman" w:cs="Times New Roman"/>
          <w:sz w:val="24"/>
          <w:szCs w:val="24"/>
        </w:rPr>
        <w:t>tym 2 343,7 tys. na pełen etat).</w:t>
      </w:r>
      <w:r w:rsidR="003E585C">
        <w:rPr>
          <w:rFonts w:ascii="Times New Roman" w:hAnsi="Times New Roman" w:cs="Times New Roman"/>
          <w:sz w:val="24"/>
          <w:szCs w:val="24"/>
        </w:rPr>
        <w:t xml:space="preserve"> </w:t>
      </w:r>
      <w:r w:rsidR="003027A9">
        <w:rPr>
          <w:rFonts w:ascii="Times New Roman" w:hAnsi="Times New Roman" w:cs="Times New Roman"/>
          <w:sz w:val="24"/>
          <w:szCs w:val="24"/>
        </w:rPr>
        <w:t>P</w:t>
      </w:r>
      <w:r w:rsidR="003E585C">
        <w:rPr>
          <w:rFonts w:ascii="Times New Roman" w:hAnsi="Times New Roman" w:cs="Times New Roman"/>
          <w:sz w:val="24"/>
          <w:szCs w:val="24"/>
        </w:rPr>
        <w:t xml:space="preserve">racujących na własny rachunek było 1 021,1 tys. (w tym 204,3 tys. pracodawców), a 118,0 tys. osób pracowało jako pomagający członkowie rodziny. W podziale na płeć wśród mężczyzn większy był udział pracujących na własny rachunek (30,6% wobec 22,0% dla kobiet), natomiast wśród kobiet większe były udziały </w:t>
      </w:r>
      <w:r w:rsidR="003E585C" w:rsidRPr="003E585C">
        <w:rPr>
          <w:rFonts w:ascii="Times New Roman" w:hAnsi="Times New Roman" w:cs="Times New Roman"/>
          <w:sz w:val="24"/>
          <w:szCs w:val="24"/>
        </w:rPr>
        <w:t xml:space="preserve">pracowników najemnych (73,5% wobec 67,4% dla mężczyzn) oraz pomagających członków rodzin tj. 4,5% wobec 2,0% dla mężczyzn (w </w:t>
      </w:r>
      <w:r w:rsidR="008D7CDF">
        <w:rPr>
          <w:rFonts w:ascii="Times New Roman" w:hAnsi="Times New Roman" w:cs="Times New Roman"/>
          <w:sz w:val="24"/>
          <w:szCs w:val="24"/>
        </w:rPr>
        <w:t>strukturze procentowej</w:t>
      </w:r>
      <w:r w:rsidR="003E585C" w:rsidRPr="003E585C">
        <w:rPr>
          <w:rFonts w:ascii="Times New Roman" w:hAnsi="Times New Roman" w:cs="Times New Roman"/>
          <w:sz w:val="24"/>
          <w:szCs w:val="24"/>
        </w:rPr>
        <w:t xml:space="preserve"> nie uwzględniono nieustalonego statusu zatrudnienia).</w:t>
      </w:r>
      <w:r w:rsidR="003E58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0FA" w:rsidRPr="00254B37" w:rsidRDefault="003E585C" w:rsidP="003E585C">
      <w:pPr>
        <w:pStyle w:val="Legenda"/>
        <w:keepNext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254B37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2.5</w:t>
      </w:r>
      <w:r w:rsidRPr="00254B37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3310FA" w:rsidRPr="00254B37">
        <w:rPr>
          <w:rFonts w:ascii="Times New Roman" w:hAnsi="Times New Roman" w:cs="Times New Roman"/>
          <w:color w:val="auto"/>
          <w:sz w:val="20"/>
          <w:szCs w:val="22"/>
        </w:rPr>
        <w:t>Pracujący w wieku 50-69 lat wg płci, miejsca zamieszkania i wybranych</w:t>
      </w:r>
      <w:r w:rsidR="00EE36C3" w:rsidRPr="00254B37">
        <w:rPr>
          <w:rFonts w:ascii="Times New Roman" w:hAnsi="Times New Roman" w:cs="Times New Roman"/>
          <w:color w:val="auto"/>
          <w:sz w:val="20"/>
          <w:szCs w:val="22"/>
        </w:rPr>
        <w:t xml:space="preserve"> sekcji PKD </w:t>
      </w:r>
      <w:r w:rsidR="003310FA" w:rsidRPr="00254B37">
        <w:rPr>
          <w:rFonts w:ascii="Times New Roman" w:hAnsi="Times New Roman" w:cs="Times New Roman"/>
          <w:color w:val="auto"/>
          <w:sz w:val="20"/>
          <w:szCs w:val="22"/>
        </w:rPr>
        <w:t>2007</w:t>
      </w:r>
    </w:p>
    <w:tbl>
      <w:tblPr>
        <w:tblW w:w="5010" w:type="pct"/>
        <w:tblCellMar>
          <w:left w:w="70" w:type="dxa"/>
          <w:right w:w="70" w:type="dxa"/>
        </w:tblCellMar>
        <w:tblLook w:val="04A0"/>
      </w:tblPr>
      <w:tblGrid>
        <w:gridCol w:w="151"/>
        <w:gridCol w:w="2525"/>
        <w:gridCol w:w="753"/>
        <w:gridCol w:w="753"/>
        <w:gridCol w:w="753"/>
        <w:gridCol w:w="753"/>
        <w:gridCol w:w="753"/>
        <w:gridCol w:w="753"/>
        <w:gridCol w:w="753"/>
        <w:gridCol w:w="642"/>
        <w:gridCol w:w="641"/>
      </w:tblGrid>
      <w:tr w:rsidR="003310FA" w:rsidRPr="002959B6" w:rsidTr="00490C65">
        <w:trPr>
          <w:trHeight w:val="303"/>
        </w:trPr>
        <w:tc>
          <w:tcPr>
            <w:tcW w:w="1449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3310FA">
            <w:pPr>
              <w:spacing w:after="0"/>
              <w:ind w:left="7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  <w:p w:rsidR="003310FA" w:rsidRPr="002959B6" w:rsidRDefault="003310FA" w:rsidP="003310FA">
            <w:pPr>
              <w:spacing w:after="0"/>
              <w:ind w:left="7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 – ogółem</w:t>
            </w:r>
          </w:p>
          <w:p w:rsidR="003310FA" w:rsidRPr="002959B6" w:rsidRDefault="003310FA" w:rsidP="003310FA">
            <w:pPr>
              <w:spacing w:after="0"/>
              <w:ind w:left="7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 – mężczyźni</w:t>
            </w:r>
          </w:p>
          <w:p w:rsidR="003310FA" w:rsidRPr="002959B6" w:rsidRDefault="003310FA" w:rsidP="003310FA">
            <w:pPr>
              <w:spacing w:after="0"/>
              <w:ind w:left="7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  <w:r w:rsidR="006503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Miasto</w:t>
            </w:r>
          </w:p>
        </w:tc>
        <w:tc>
          <w:tcPr>
            <w:tcW w:w="11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</w:tr>
      <w:tr w:rsidR="003310FA" w:rsidRPr="002959B6" w:rsidTr="00490C65">
        <w:trPr>
          <w:trHeight w:val="303"/>
        </w:trPr>
        <w:tc>
          <w:tcPr>
            <w:tcW w:w="144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FA" w:rsidRPr="002959B6" w:rsidRDefault="003310FA" w:rsidP="003310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</w:t>
            </w:r>
          </w:p>
        </w:tc>
      </w:tr>
      <w:tr w:rsidR="003310FA" w:rsidRPr="002959B6" w:rsidTr="00B44BA1">
        <w:trPr>
          <w:trHeight w:val="303"/>
        </w:trPr>
        <w:tc>
          <w:tcPr>
            <w:tcW w:w="144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FA" w:rsidRPr="002959B6" w:rsidRDefault="003310FA" w:rsidP="003310F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2959B6" w:rsidP="003310F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</w:tr>
      <w:tr w:rsidR="003310FA" w:rsidRPr="002959B6" w:rsidTr="00B44BA1">
        <w:trPr>
          <w:trHeight w:val="303"/>
        </w:trPr>
        <w:tc>
          <w:tcPr>
            <w:tcW w:w="144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3310F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3809,8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2141,3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1668,5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2409,1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1309,9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1099,2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1400,7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831,4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569,3</w:t>
            </w:r>
          </w:p>
        </w:tc>
      </w:tr>
      <w:tr w:rsidR="003310FA" w:rsidRPr="002959B6" w:rsidTr="00B44BA1">
        <w:trPr>
          <w:trHeight w:val="303"/>
        </w:trPr>
        <w:tc>
          <w:tcPr>
            <w:tcW w:w="14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310FA" w:rsidRPr="002959B6" w:rsidTr="00211B06">
        <w:trPr>
          <w:trHeight w:val="303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rolnictwo, leśnictwo, łowiectwo i rybactwo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680,9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397,8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283,1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21,9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620,2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359,1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261,2</w:t>
            </w:r>
          </w:p>
        </w:tc>
      </w:tr>
      <w:tr w:rsidR="003310FA" w:rsidRPr="002959B6" w:rsidTr="00211B06">
        <w:trPr>
          <w:trHeight w:val="303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przetwórstwo przemysłowe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627,4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430,4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197,0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441,2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299,6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141,5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186,3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130,8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55,5</w:t>
            </w:r>
          </w:p>
        </w:tc>
      </w:tr>
      <w:tr w:rsidR="003310FA" w:rsidRPr="002959B6" w:rsidTr="00211B06">
        <w:trPr>
          <w:trHeight w:val="303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EF34E5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</w:t>
            </w:r>
            <w:r w:rsidR="003310FA"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udownictwo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291,3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266,5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200,2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179,5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91,1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87,0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4,0</w:t>
            </w:r>
          </w:p>
        </w:tc>
      </w:tr>
      <w:tr w:rsidR="003310FA" w:rsidRPr="002959B6" w:rsidTr="00211B06">
        <w:trPr>
          <w:trHeight w:val="606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handel hurtowy i detaliczny; naprawa pojazdów samochodowych, włączając motocykle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381,3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182,0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199,3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289,4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135,6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153,8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91,9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46,4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45,5</w:t>
            </w:r>
          </w:p>
        </w:tc>
      </w:tr>
      <w:tr w:rsidR="003310FA" w:rsidRPr="002959B6" w:rsidTr="00211B06">
        <w:trPr>
          <w:trHeight w:val="303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transport i gospodarka magazynowa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237,7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193,7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172,2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139,6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65,5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54,0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11,5</w:t>
            </w:r>
          </w:p>
        </w:tc>
      </w:tr>
      <w:tr w:rsidR="003310FA" w:rsidRPr="002959B6" w:rsidTr="00211B06">
        <w:trPr>
          <w:trHeight w:val="606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administracja publiczna i obrona narodowa; obowiązkowe zabezpieczenia społeczne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212,9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88,4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124,5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162,7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98,1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50,2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23,8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26,4</w:t>
            </w:r>
          </w:p>
        </w:tc>
      </w:tr>
      <w:tr w:rsidR="003310FA" w:rsidRPr="002959B6" w:rsidTr="00211B06">
        <w:trPr>
          <w:trHeight w:val="303"/>
        </w:trPr>
        <w:tc>
          <w:tcPr>
            <w:tcW w:w="8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EF34E5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</w:t>
            </w:r>
            <w:r w:rsidR="003310FA"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dukacja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324,7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91,1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233,6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247,8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177,4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76,9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20,7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56,2</w:t>
            </w:r>
          </w:p>
        </w:tc>
      </w:tr>
      <w:tr w:rsidR="003310FA" w:rsidRPr="002959B6" w:rsidTr="00211B06">
        <w:trPr>
          <w:trHeight w:val="303"/>
        </w:trPr>
        <w:tc>
          <w:tcPr>
            <w:tcW w:w="8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8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0FA" w:rsidRPr="002959B6" w:rsidRDefault="003310FA" w:rsidP="00211B0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opieka zdrowotna i pomoc społeczna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280,2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226,7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221,6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42,1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179,4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58,6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11,3</w:t>
            </w: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FA" w:rsidRPr="002959B6" w:rsidRDefault="003310FA" w:rsidP="00EF34E5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959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47,3</w:t>
            </w:r>
          </w:p>
        </w:tc>
      </w:tr>
    </w:tbl>
    <w:p w:rsidR="003310FA" w:rsidRPr="00426FF2" w:rsidRDefault="003310FA" w:rsidP="003A2E9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FDE">
        <w:rPr>
          <w:rFonts w:ascii="Times New Roman" w:hAnsi="Times New Roman" w:cs="Times New Roman"/>
          <w:sz w:val="24"/>
          <w:szCs w:val="24"/>
        </w:rPr>
        <w:lastRenderedPageBreak/>
        <w:t>Najwięcej osób w wieku 50-69 lat pracowało w sekcjach</w:t>
      </w:r>
      <w:r w:rsidR="00EF34E5">
        <w:rPr>
          <w:rFonts w:ascii="Times New Roman" w:hAnsi="Times New Roman" w:cs="Times New Roman"/>
          <w:sz w:val="24"/>
          <w:szCs w:val="24"/>
        </w:rPr>
        <w:t>:</w:t>
      </w:r>
      <w:r w:rsidR="00EE36C3">
        <w:rPr>
          <w:rFonts w:ascii="Times New Roman" w:hAnsi="Times New Roman" w:cs="Times New Roman"/>
          <w:sz w:val="24"/>
          <w:szCs w:val="24"/>
        </w:rPr>
        <w:t xml:space="preserve"> rolnictwo, leśnictwo i </w:t>
      </w:r>
      <w:r w:rsidRPr="00B92FDE">
        <w:rPr>
          <w:rFonts w:ascii="Times New Roman" w:hAnsi="Times New Roman" w:cs="Times New Roman"/>
          <w:sz w:val="24"/>
          <w:szCs w:val="24"/>
        </w:rPr>
        <w:t>rybactwo (17,9%), przetwórstw</w:t>
      </w:r>
      <w:r w:rsidR="00EF34E5">
        <w:rPr>
          <w:rFonts w:ascii="Times New Roman" w:hAnsi="Times New Roman" w:cs="Times New Roman"/>
          <w:sz w:val="24"/>
          <w:szCs w:val="24"/>
        </w:rPr>
        <w:t>o</w:t>
      </w:r>
      <w:r w:rsidRPr="00B92FDE">
        <w:rPr>
          <w:rFonts w:ascii="Times New Roman" w:hAnsi="Times New Roman" w:cs="Times New Roman"/>
          <w:sz w:val="24"/>
          <w:szCs w:val="24"/>
        </w:rPr>
        <w:t xml:space="preserve"> przemysłow</w:t>
      </w:r>
      <w:r w:rsidR="00EF34E5">
        <w:rPr>
          <w:rFonts w:ascii="Times New Roman" w:hAnsi="Times New Roman" w:cs="Times New Roman"/>
          <w:sz w:val="24"/>
          <w:szCs w:val="24"/>
        </w:rPr>
        <w:t>e</w:t>
      </w:r>
      <w:r w:rsidRPr="00B92FDE">
        <w:rPr>
          <w:rFonts w:ascii="Times New Roman" w:hAnsi="Times New Roman" w:cs="Times New Roman"/>
          <w:sz w:val="24"/>
          <w:szCs w:val="24"/>
        </w:rPr>
        <w:t xml:space="preserve"> (16,5%) </w:t>
      </w:r>
      <w:r w:rsidR="00EF34E5">
        <w:rPr>
          <w:rFonts w:ascii="Times New Roman" w:hAnsi="Times New Roman" w:cs="Times New Roman"/>
          <w:sz w:val="24"/>
          <w:szCs w:val="24"/>
        </w:rPr>
        <w:t xml:space="preserve">oraz </w:t>
      </w:r>
      <w:r w:rsidRPr="00B92FDE">
        <w:rPr>
          <w:rFonts w:ascii="Times New Roman" w:hAnsi="Times New Roman" w:cs="Times New Roman"/>
          <w:sz w:val="24"/>
          <w:szCs w:val="24"/>
        </w:rPr>
        <w:t>hand</w:t>
      </w:r>
      <w:r w:rsidR="00EF34E5">
        <w:rPr>
          <w:rFonts w:ascii="Times New Roman" w:hAnsi="Times New Roman" w:cs="Times New Roman"/>
          <w:sz w:val="24"/>
          <w:szCs w:val="24"/>
        </w:rPr>
        <w:t>el</w:t>
      </w:r>
      <w:r w:rsidRPr="00B92FDE">
        <w:rPr>
          <w:rFonts w:ascii="Times New Roman" w:hAnsi="Times New Roman" w:cs="Times New Roman"/>
          <w:sz w:val="24"/>
          <w:szCs w:val="24"/>
        </w:rPr>
        <w:t xml:space="preserve"> hurtowy i detaliczny, napra</w:t>
      </w:r>
      <w:r w:rsidR="00EF34E5">
        <w:rPr>
          <w:rFonts w:ascii="Times New Roman" w:hAnsi="Times New Roman" w:cs="Times New Roman"/>
          <w:sz w:val="24"/>
          <w:szCs w:val="24"/>
        </w:rPr>
        <w:t>wa</w:t>
      </w:r>
      <w:r w:rsidRPr="00B92FDE">
        <w:rPr>
          <w:rFonts w:ascii="Times New Roman" w:hAnsi="Times New Roman" w:cs="Times New Roman"/>
          <w:sz w:val="24"/>
          <w:szCs w:val="24"/>
        </w:rPr>
        <w:t xml:space="preserve"> pojazdów samochodowych włączając motocykle (10</w:t>
      </w:r>
      <w:r w:rsidR="00EF34E5">
        <w:rPr>
          <w:rFonts w:ascii="Times New Roman" w:hAnsi="Times New Roman" w:cs="Times New Roman"/>
          <w:sz w:val="24"/>
          <w:szCs w:val="24"/>
        </w:rPr>
        <w:t>,0</w:t>
      </w:r>
      <w:r w:rsidRPr="00B92FDE">
        <w:rPr>
          <w:rFonts w:ascii="Times New Roman" w:hAnsi="Times New Roman" w:cs="Times New Roman"/>
          <w:sz w:val="24"/>
          <w:szCs w:val="24"/>
        </w:rPr>
        <w:t>%). Struktura pracujących wskazuje, że mężcz</w:t>
      </w:r>
      <w:r w:rsidR="00EF34E5">
        <w:rPr>
          <w:rFonts w:ascii="Times New Roman" w:hAnsi="Times New Roman" w:cs="Times New Roman"/>
          <w:sz w:val="24"/>
          <w:szCs w:val="24"/>
        </w:rPr>
        <w:t>yźni częściej niż kobiety pracowali</w:t>
      </w:r>
      <w:r w:rsidRPr="00B92FDE">
        <w:rPr>
          <w:rFonts w:ascii="Times New Roman" w:hAnsi="Times New Roman" w:cs="Times New Roman"/>
          <w:sz w:val="24"/>
          <w:szCs w:val="24"/>
        </w:rPr>
        <w:t xml:space="preserve"> w przetwórstwie</w:t>
      </w:r>
      <w:r w:rsidR="00EE36C3">
        <w:rPr>
          <w:rFonts w:ascii="Times New Roman" w:hAnsi="Times New Roman" w:cs="Times New Roman"/>
          <w:sz w:val="24"/>
          <w:szCs w:val="24"/>
        </w:rPr>
        <w:t xml:space="preserve"> przemysłowym i </w:t>
      </w:r>
      <w:r w:rsidRPr="00B92FDE">
        <w:rPr>
          <w:rFonts w:ascii="Times New Roman" w:hAnsi="Times New Roman" w:cs="Times New Roman"/>
          <w:sz w:val="24"/>
          <w:szCs w:val="24"/>
        </w:rPr>
        <w:t>budownictwie, odpowiednio o 8,3 i 11,0 p.</w:t>
      </w:r>
      <w:r w:rsidR="003A1579">
        <w:rPr>
          <w:rFonts w:ascii="Times New Roman" w:hAnsi="Times New Roman" w:cs="Times New Roman"/>
          <w:sz w:val="24"/>
          <w:szCs w:val="24"/>
        </w:rPr>
        <w:t xml:space="preserve"> </w:t>
      </w:r>
      <w:r w:rsidRPr="00B92FDE">
        <w:rPr>
          <w:rFonts w:ascii="Times New Roman" w:hAnsi="Times New Roman" w:cs="Times New Roman"/>
          <w:sz w:val="24"/>
          <w:szCs w:val="24"/>
        </w:rPr>
        <w:t>p</w:t>
      </w:r>
      <w:r w:rsidR="00EF34E5">
        <w:rPr>
          <w:rFonts w:ascii="Times New Roman" w:hAnsi="Times New Roman" w:cs="Times New Roman"/>
          <w:sz w:val="24"/>
          <w:szCs w:val="24"/>
        </w:rPr>
        <w:t>roc.</w:t>
      </w:r>
      <w:r w:rsidRPr="00B92FDE">
        <w:rPr>
          <w:rFonts w:ascii="Times New Roman" w:hAnsi="Times New Roman" w:cs="Times New Roman"/>
          <w:sz w:val="24"/>
          <w:szCs w:val="24"/>
        </w:rPr>
        <w:t xml:space="preserve">, natomiast kobiet było </w:t>
      </w:r>
      <w:r w:rsidR="00220D39" w:rsidRPr="00B92FDE">
        <w:rPr>
          <w:rFonts w:ascii="Times New Roman" w:hAnsi="Times New Roman" w:cs="Times New Roman"/>
          <w:sz w:val="24"/>
          <w:szCs w:val="24"/>
        </w:rPr>
        <w:t xml:space="preserve">więcej </w:t>
      </w:r>
      <w:r w:rsidRPr="00B92FDE">
        <w:rPr>
          <w:rFonts w:ascii="Times New Roman" w:hAnsi="Times New Roman" w:cs="Times New Roman"/>
          <w:sz w:val="24"/>
          <w:szCs w:val="24"/>
        </w:rPr>
        <w:t>w edukacji oraz opiece zdrowotnej i pomocy społecznej, odpowiednio o 9,7 i 11,1 p.</w:t>
      </w:r>
      <w:r w:rsidR="003A1579">
        <w:rPr>
          <w:rFonts w:ascii="Times New Roman" w:hAnsi="Times New Roman" w:cs="Times New Roman"/>
          <w:sz w:val="24"/>
          <w:szCs w:val="24"/>
        </w:rPr>
        <w:t xml:space="preserve"> </w:t>
      </w:r>
      <w:r w:rsidRPr="00B92FDE">
        <w:rPr>
          <w:rFonts w:ascii="Times New Roman" w:hAnsi="Times New Roman" w:cs="Times New Roman"/>
          <w:sz w:val="24"/>
          <w:szCs w:val="24"/>
        </w:rPr>
        <w:t>p</w:t>
      </w:r>
      <w:r w:rsidR="00EF34E5">
        <w:rPr>
          <w:rFonts w:ascii="Times New Roman" w:hAnsi="Times New Roman" w:cs="Times New Roman"/>
          <w:sz w:val="24"/>
          <w:szCs w:val="24"/>
        </w:rPr>
        <w:t>roc</w:t>
      </w:r>
      <w:r w:rsidR="00220D39">
        <w:rPr>
          <w:rFonts w:ascii="Times New Roman" w:hAnsi="Times New Roman" w:cs="Times New Roman"/>
          <w:sz w:val="24"/>
          <w:szCs w:val="24"/>
        </w:rPr>
        <w:t>.</w:t>
      </w:r>
    </w:p>
    <w:p w:rsidR="00EE36C3" w:rsidRDefault="003310FA" w:rsidP="0065037C">
      <w:pPr>
        <w:spacing w:after="12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7C2B">
        <w:rPr>
          <w:rFonts w:ascii="Times New Roman" w:hAnsi="Times New Roman" w:cs="Times New Roman"/>
          <w:sz w:val="24"/>
          <w:szCs w:val="24"/>
        </w:rPr>
        <w:t>Struktura pracujących ze względu na gr</w:t>
      </w:r>
      <w:r w:rsidR="00D0744C">
        <w:rPr>
          <w:rFonts w:ascii="Times New Roman" w:hAnsi="Times New Roman" w:cs="Times New Roman"/>
          <w:sz w:val="24"/>
          <w:szCs w:val="24"/>
        </w:rPr>
        <w:t>upy zawodów była zróżnicowana w </w:t>
      </w:r>
      <w:r w:rsidRPr="00537C2B">
        <w:rPr>
          <w:rFonts w:ascii="Times New Roman" w:hAnsi="Times New Roman" w:cs="Times New Roman"/>
          <w:sz w:val="24"/>
          <w:szCs w:val="24"/>
        </w:rPr>
        <w:t>poszczególnych województwach. Największe dysproporcje wystąpiły w grupie rolnicy, ogrodnicy, leśnicy i rybacy. Największy udział pracujących w tej grupie by</w:t>
      </w:r>
      <w:r w:rsidR="00D0744C">
        <w:rPr>
          <w:rFonts w:ascii="Times New Roman" w:hAnsi="Times New Roman" w:cs="Times New Roman"/>
          <w:sz w:val="24"/>
          <w:szCs w:val="24"/>
        </w:rPr>
        <w:t>ł w </w:t>
      </w:r>
      <w:r w:rsidRPr="00537C2B">
        <w:rPr>
          <w:rFonts w:ascii="Times New Roman" w:hAnsi="Times New Roman" w:cs="Times New Roman"/>
          <w:sz w:val="24"/>
          <w:szCs w:val="24"/>
        </w:rPr>
        <w:t>województwach lubelskim (33,3%), podkarpackim (30,9</w:t>
      </w:r>
      <w:r w:rsidR="00D0744C">
        <w:rPr>
          <w:rFonts w:ascii="Times New Roman" w:hAnsi="Times New Roman" w:cs="Times New Roman"/>
          <w:sz w:val="24"/>
          <w:szCs w:val="24"/>
        </w:rPr>
        <w:t>%</w:t>
      </w:r>
      <w:r w:rsidRPr="00537C2B">
        <w:rPr>
          <w:rFonts w:ascii="Times New Roman" w:hAnsi="Times New Roman" w:cs="Times New Roman"/>
          <w:sz w:val="24"/>
          <w:szCs w:val="24"/>
        </w:rPr>
        <w:t>), świętokrzyskim (29,1</w:t>
      </w:r>
      <w:r w:rsidR="00D0744C">
        <w:rPr>
          <w:rFonts w:ascii="Times New Roman" w:hAnsi="Times New Roman" w:cs="Times New Roman"/>
          <w:sz w:val="24"/>
          <w:szCs w:val="24"/>
        </w:rPr>
        <w:t>%</w:t>
      </w:r>
      <w:r w:rsidRPr="00537C2B">
        <w:rPr>
          <w:rFonts w:ascii="Times New Roman" w:hAnsi="Times New Roman" w:cs="Times New Roman"/>
          <w:sz w:val="24"/>
          <w:szCs w:val="24"/>
        </w:rPr>
        <w:t>) oraz podlaskim (27,1</w:t>
      </w:r>
      <w:r w:rsidR="00D0744C">
        <w:rPr>
          <w:rFonts w:ascii="Times New Roman" w:hAnsi="Times New Roman" w:cs="Times New Roman"/>
          <w:sz w:val="24"/>
          <w:szCs w:val="24"/>
        </w:rPr>
        <w:t>%</w:t>
      </w:r>
      <w:r w:rsidRPr="00537C2B">
        <w:rPr>
          <w:rFonts w:ascii="Times New Roman" w:hAnsi="Times New Roman" w:cs="Times New Roman"/>
          <w:sz w:val="24"/>
          <w:szCs w:val="24"/>
        </w:rPr>
        <w:t>), natomiast najmniejszy w województwach śląskim (5,9%), zachodnio-pomorskim (8,2</w:t>
      </w:r>
      <w:r w:rsidR="00D0744C">
        <w:rPr>
          <w:rFonts w:ascii="Times New Roman" w:hAnsi="Times New Roman" w:cs="Times New Roman"/>
          <w:sz w:val="24"/>
          <w:szCs w:val="24"/>
        </w:rPr>
        <w:t>%</w:t>
      </w:r>
      <w:r w:rsidRPr="00537C2B">
        <w:rPr>
          <w:rFonts w:ascii="Times New Roman" w:hAnsi="Times New Roman" w:cs="Times New Roman"/>
          <w:sz w:val="24"/>
          <w:szCs w:val="24"/>
        </w:rPr>
        <w:t>) i pomorskim (8,7</w:t>
      </w:r>
      <w:r w:rsidR="00D0744C">
        <w:rPr>
          <w:rFonts w:ascii="Times New Roman" w:hAnsi="Times New Roman" w:cs="Times New Roman"/>
          <w:sz w:val="24"/>
          <w:szCs w:val="24"/>
        </w:rPr>
        <w:t>%</w:t>
      </w:r>
      <w:r w:rsidRPr="00537C2B">
        <w:rPr>
          <w:rFonts w:ascii="Times New Roman" w:hAnsi="Times New Roman" w:cs="Times New Roman"/>
          <w:sz w:val="24"/>
          <w:szCs w:val="24"/>
        </w:rPr>
        <w:t>).</w:t>
      </w:r>
    </w:p>
    <w:p w:rsidR="00100647" w:rsidRPr="003A2E92" w:rsidRDefault="00EE36C3" w:rsidP="00220D39">
      <w:pPr>
        <w:pStyle w:val="Legenda"/>
        <w:spacing w:after="0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3A2E92">
        <w:rPr>
          <w:rFonts w:ascii="Times New Roman" w:hAnsi="Times New Roman" w:cs="Times New Roman"/>
          <w:noProof/>
          <w:color w:val="auto"/>
          <w:sz w:val="20"/>
          <w:szCs w:val="22"/>
          <w:lang w:eastAsia="pl-P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203200</wp:posOffset>
            </wp:positionV>
            <wp:extent cx="6201410" cy="4076700"/>
            <wp:effectExtent l="19050" t="0" r="27940" b="0"/>
            <wp:wrapTight wrapText="bothSides">
              <wp:wrapPolygon edited="0">
                <wp:start x="-66" y="0"/>
                <wp:lineTo x="-66" y="21600"/>
                <wp:lineTo x="21697" y="21600"/>
                <wp:lineTo x="21697" y="0"/>
                <wp:lineTo x="-66" y="0"/>
              </wp:wrapPolygon>
            </wp:wrapTight>
            <wp:docPr id="14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Pr="003A2E92">
        <w:rPr>
          <w:rFonts w:ascii="Times New Roman" w:hAnsi="Times New Roman" w:cs="Times New Roman"/>
          <w:color w:val="auto"/>
          <w:sz w:val="20"/>
          <w:szCs w:val="22"/>
        </w:rPr>
        <w:t>Wykres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 xml:space="preserve"> 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2.6</w:t>
      </w:r>
      <w:r w:rsidRPr="003A2E92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D0744C" w:rsidRPr="003A2E92">
        <w:rPr>
          <w:rFonts w:ascii="Times New Roman" w:hAnsi="Times New Roman" w:cs="Times New Roman"/>
          <w:color w:val="auto"/>
          <w:sz w:val="20"/>
          <w:szCs w:val="22"/>
        </w:rPr>
        <w:t>Struktura p</w:t>
      </w:r>
      <w:r w:rsidR="002959B6" w:rsidRPr="003A2E92">
        <w:rPr>
          <w:rFonts w:ascii="Times New Roman" w:hAnsi="Times New Roman" w:cs="Times New Roman"/>
          <w:color w:val="auto"/>
          <w:sz w:val="20"/>
          <w:szCs w:val="22"/>
        </w:rPr>
        <w:t>racujący</w:t>
      </w:r>
      <w:r w:rsidR="00D0744C" w:rsidRPr="003A2E92">
        <w:rPr>
          <w:rFonts w:ascii="Times New Roman" w:hAnsi="Times New Roman" w:cs="Times New Roman"/>
          <w:color w:val="auto"/>
          <w:sz w:val="20"/>
          <w:szCs w:val="22"/>
        </w:rPr>
        <w:t>ch</w:t>
      </w:r>
      <w:r w:rsidR="002959B6" w:rsidRPr="003A2E92">
        <w:rPr>
          <w:rFonts w:ascii="Times New Roman" w:hAnsi="Times New Roman" w:cs="Times New Roman"/>
          <w:color w:val="auto"/>
          <w:sz w:val="20"/>
          <w:szCs w:val="22"/>
        </w:rPr>
        <w:t xml:space="preserve"> w wieku 50-69 lat według </w:t>
      </w:r>
      <w:r w:rsidR="008D7CDF" w:rsidRPr="003A2E92">
        <w:rPr>
          <w:rFonts w:ascii="Times New Roman" w:hAnsi="Times New Roman" w:cs="Times New Roman"/>
          <w:color w:val="auto"/>
          <w:sz w:val="20"/>
          <w:szCs w:val="22"/>
        </w:rPr>
        <w:t>wielkich</w:t>
      </w:r>
      <w:r w:rsidR="00D0744C" w:rsidRPr="003A2E92">
        <w:rPr>
          <w:rFonts w:ascii="Times New Roman" w:hAnsi="Times New Roman" w:cs="Times New Roman"/>
          <w:color w:val="auto"/>
          <w:sz w:val="20"/>
          <w:szCs w:val="22"/>
        </w:rPr>
        <w:t xml:space="preserve"> grup zawodów i</w:t>
      </w:r>
      <w:r w:rsidRPr="003A2E92">
        <w:rPr>
          <w:rFonts w:ascii="Times New Roman" w:hAnsi="Times New Roman" w:cs="Times New Roman"/>
          <w:sz w:val="20"/>
          <w:szCs w:val="22"/>
        </w:rPr>
        <w:t> </w:t>
      </w:r>
      <w:r w:rsidR="00D0744C" w:rsidRPr="003A2E92">
        <w:rPr>
          <w:rFonts w:ascii="Times New Roman" w:hAnsi="Times New Roman" w:cs="Times New Roman"/>
          <w:color w:val="auto"/>
          <w:sz w:val="20"/>
          <w:szCs w:val="22"/>
        </w:rPr>
        <w:t>województw</w:t>
      </w:r>
    </w:p>
    <w:p w:rsidR="003310FA" w:rsidRPr="00537C2B" w:rsidRDefault="003310FA" w:rsidP="003A2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C2B">
        <w:rPr>
          <w:rFonts w:ascii="Times New Roman" w:hAnsi="Times New Roman" w:cs="Times New Roman"/>
          <w:sz w:val="24"/>
          <w:szCs w:val="24"/>
        </w:rPr>
        <w:t>Analizując osoby pracujące w wieku 50-69 lat pod w</w:t>
      </w:r>
      <w:r w:rsidR="00D0744C">
        <w:rPr>
          <w:rFonts w:ascii="Times New Roman" w:hAnsi="Times New Roman" w:cs="Times New Roman"/>
          <w:sz w:val="24"/>
          <w:szCs w:val="24"/>
        </w:rPr>
        <w:t xml:space="preserve">zględem </w:t>
      </w:r>
      <w:r w:rsidR="00D0744C" w:rsidRPr="00260448">
        <w:rPr>
          <w:rFonts w:ascii="Times New Roman" w:hAnsi="Times New Roman" w:cs="Times New Roman"/>
          <w:sz w:val="24"/>
          <w:szCs w:val="24"/>
        </w:rPr>
        <w:t xml:space="preserve">wykształcenia </w:t>
      </w:r>
      <w:r w:rsidR="009603DC" w:rsidRPr="00260448">
        <w:rPr>
          <w:rFonts w:ascii="Times New Roman" w:hAnsi="Times New Roman" w:cs="Times New Roman"/>
          <w:sz w:val="24"/>
          <w:szCs w:val="24"/>
        </w:rPr>
        <w:t>można zauważyć</w:t>
      </w:r>
      <w:r w:rsidR="00D0744C" w:rsidRPr="00260448">
        <w:rPr>
          <w:rFonts w:ascii="Times New Roman" w:hAnsi="Times New Roman" w:cs="Times New Roman"/>
          <w:sz w:val="24"/>
          <w:szCs w:val="24"/>
        </w:rPr>
        <w:t>, że </w:t>
      </w:r>
      <w:r w:rsidRPr="00260448">
        <w:rPr>
          <w:rFonts w:ascii="Times New Roman" w:hAnsi="Times New Roman" w:cs="Times New Roman"/>
          <w:sz w:val="24"/>
          <w:szCs w:val="24"/>
        </w:rPr>
        <w:t>kobiety charakteryz</w:t>
      </w:r>
      <w:r w:rsidR="00D0744C" w:rsidRPr="00260448">
        <w:rPr>
          <w:rFonts w:ascii="Times New Roman" w:hAnsi="Times New Roman" w:cs="Times New Roman"/>
          <w:sz w:val="24"/>
          <w:szCs w:val="24"/>
        </w:rPr>
        <w:t>owały</w:t>
      </w:r>
      <w:r w:rsidRPr="00260448">
        <w:rPr>
          <w:rFonts w:ascii="Times New Roman" w:hAnsi="Times New Roman" w:cs="Times New Roman"/>
          <w:sz w:val="24"/>
          <w:szCs w:val="24"/>
        </w:rPr>
        <w:t xml:space="preserve"> się </w:t>
      </w:r>
      <w:r w:rsidR="008D7CDF">
        <w:rPr>
          <w:rFonts w:ascii="Times New Roman" w:hAnsi="Times New Roman" w:cs="Times New Roman"/>
          <w:sz w:val="24"/>
          <w:szCs w:val="24"/>
        </w:rPr>
        <w:t>wyższym poziomem wykształcenia</w:t>
      </w:r>
      <w:r w:rsidRPr="00260448">
        <w:rPr>
          <w:rFonts w:ascii="Times New Roman" w:hAnsi="Times New Roman" w:cs="Times New Roman"/>
          <w:sz w:val="24"/>
          <w:szCs w:val="24"/>
        </w:rPr>
        <w:t xml:space="preserve"> niż mężczyźni. Wśród</w:t>
      </w:r>
      <w:r w:rsidRPr="00537C2B">
        <w:rPr>
          <w:rFonts w:ascii="Times New Roman" w:hAnsi="Times New Roman" w:cs="Times New Roman"/>
          <w:sz w:val="24"/>
          <w:szCs w:val="24"/>
        </w:rPr>
        <w:t xml:space="preserve"> kobiet najwięcej </w:t>
      </w:r>
      <w:r w:rsidR="00D0744C">
        <w:rPr>
          <w:rFonts w:ascii="Times New Roman" w:hAnsi="Times New Roman" w:cs="Times New Roman"/>
          <w:sz w:val="24"/>
          <w:szCs w:val="24"/>
        </w:rPr>
        <w:t>było</w:t>
      </w:r>
      <w:r w:rsidRPr="00537C2B">
        <w:rPr>
          <w:rFonts w:ascii="Times New Roman" w:hAnsi="Times New Roman" w:cs="Times New Roman"/>
          <w:sz w:val="24"/>
          <w:szCs w:val="24"/>
        </w:rPr>
        <w:t xml:space="preserve"> osób z wykształceniem wyższym, a wśród mężczyzn z wykształceniem zasadniczym zawodowym. Osoby z wykształceniem co najmniej średnim stanow</w:t>
      </w:r>
      <w:r w:rsidR="00D0744C">
        <w:rPr>
          <w:rFonts w:ascii="Times New Roman" w:hAnsi="Times New Roman" w:cs="Times New Roman"/>
          <w:sz w:val="24"/>
          <w:szCs w:val="24"/>
        </w:rPr>
        <w:t>iły 75,0</w:t>
      </w:r>
      <w:r w:rsidR="008D7CDF">
        <w:rPr>
          <w:rFonts w:ascii="Times New Roman" w:hAnsi="Times New Roman" w:cs="Times New Roman"/>
          <w:sz w:val="24"/>
          <w:szCs w:val="24"/>
        </w:rPr>
        <w:t>% ogółu kobiet i</w:t>
      </w:r>
      <w:r w:rsidRPr="00537C2B">
        <w:rPr>
          <w:rFonts w:ascii="Times New Roman" w:hAnsi="Times New Roman" w:cs="Times New Roman"/>
          <w:sz w:val="24"/>
          <w:szCs w:val="24"/>
        </w:rPr>
        <w:t xml:space="preserve"> 57</w:t>
      </w:r>
      <w:r w:rsidR="00D0744C">
        <w:rPr>
          <w:rFonts w:ascii="Times New Roman" w:hAnsi="Times New Roman" w:cs="Times New Roman"/>
          <w:sz w:val="24"/>
          <w:szCs w:val="24"/>
        </w:rPr>
        <w:t>,0</w:t>
      </w:r>
      <w:r w:rsidRPr="00537C2B">
        <w:rPr>
          <w:rFonts w:ascii="Times New Roman" w:hAnsi="Times New Roman" w:cs="Times New Roman"/>
          <w:sz w:val="24"/>
          <w:szCs w:val="24"/>
        </w:rPr>
        <w:t xml:space="preserve">% </w:t>
      </w:r>
      <w:r w:rsidR="00D0744C">
        <w:rPr>
          <w:rFonts w:ascii="Times New Roman" w:hAnsi="Times New Roman" w:cs="Times New Roman"/>
          <w:sz w:val="24"/>
          <w:szCs w:val="24"/>
        </w:rPr>
        <w:t xml:space="preserve">ogółu </w:t>
      </w:r>
      <w:r w:rsidRPr="00537C2B">
        <w:rPr>
          <w:rFonts w:ascii="Times New Roman" w:hAnsi="Times New Roman" w:cs="Times New Roman"/>
          <w:sz w:val="24"/>
          <w:szCs w:val="24"/>
        </w:rPr>
        <w:t>mężczyzn.</w:t>
      </w:r>
    </w:p>
    <w:p w:rsidR="003310FA" w:rsidRPr="003A2E92" w:rsidRDefault="00EB7C5B" w:rsidP="00EB7C5B">
      <w:pPr>
        <w:pStyle w:val="Legenda"/>
        <w:rPr>
          <w:rFonts w:ascii="Times New Roman" w:hAnsi="Times New Roman" w:cs="Times New Roman"/>
          <w:color w:val="auto"/>
          <w:sz w:val="20"/>
          <w:szCs w:val="22"/>
        </w:rPr>
      </w:pPr>
      <w:r w:rsidRPr="003A2E92">
        <w:rPr>
          <w:rFonts w:ascii="Times New Roman" w:hAnsi="Times New Roman" w:cs="Times New Roman"/>
          <w:color w:val="auto"/>
          <w:sz w:val="20"/>
          <w:szCs w:val="22"/>
        </w:rPr>
        <w:lastRenderedPageBreak/>
        <w:t xml:space="preserve">Wykres 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>2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.7</w:t>
      </w:r>
      <w:r w:rsidRPr="003A2E92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3310FA" w:rsidRPr="003A2E92">
        <w:rPr>
          <w:rFonts w:ascii="Times New Roman" w:hAnsi="Times New Roman" w:cs="Times New Roman"/>
          <w:color w:val="auto"/>
          <w:sz w:val="20"/>
          <w:szCs w:val="22"/>
        </w:rPr>
        <w:t>Pracujący w wieku 50-69 lat wg płci i poziomu wykształcenia</w:t>
      </w:r>
    </w:p>
    <w:p w:rsidR="003310FA" w:rsidRDefault="00F858CB" w:rsidP="00F858CB">
      <w:pPr>
        <w:spacing w:after="120"/>
      </w:pPr>
      <w:r w:rsidRPr="00F858CB">
        <w:rPr>
          <w:noProof/>
          <w:lang w:eastAsia="pl-PL"/>
        </w:rPr>
        <w:drawing>
          <wp:inline distT="0" distB="0" distL="0" distR="0">
            <wp:extent cx="5741862" cy="2147978"/>
            <wp:effectExtent l="19050" t="0" r="11238" b="4672"/>
            <wp:docPr id="17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858CB" w:rsidRPr="003A2E92" w:rsidRDefault="00F858CB" w:rsidP="00F858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E92">
        <w:rPr>
          <w:rFonts w:ascii="Times New Roman" w:hAnsi="Times New Roman" w:cs="Times New Roman"/>
          <w:sz w:val="20"/>
          <w:szCs w:val="20"/>
        </w:rPr>
        <w:t>* bez osób o nieustalonym wykształceniu</w:t>
      </w:r>
    </w:p>
    <w:p w:rsidR="00F858CB" w:rsidRPr="003A2E92" w:rsidRDefault="00F858CB" w:rsidP="00F858CB">
      <w:pPr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3A2E92">
        <w:rPr>
          <w:rFonts w:ascii="Times New Roman" w:hAnsi="Times New Roman" w:cs="Times New Roman"/>
          <w:sz w:val="20"/>
          <w:szCs w:val="20"/>
        </w:rPr>
        <w:t>** łącznie z wykształceniem podstawowym nieukończonym i bez wykształcenia szkolnego</w:t>
      </w:r>
    </w:p>
    <w:p w:rsidR="000444B9" w:rsidRPr="000444B9" w:rsidRDefault="000444B9" w:rsidP="003A2E9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C2B">
        <w:rPr>
          <w:rFonts w:ascii="Times New Roman" w:hAnsi="Times New Roman" w:cs="Times New Roman"/>
          <w:sz w:val="24"/>
          <w:szCs w:val="24"/>
        </w:rPr>
        <w:t>Pracujący w większości pracowali w wymiarze 40 godzin i więcej w ciągu tygodnia</w:t>
      </w:r>
      <w:r w:rsidR="000C06BF">
        <w:rPr>
          <w:rFonts w:ascii="Times New Roman" w:hAnsi="Times New Roman" w:cs="Times New Roman"/>
          <w:sz w:val="24"/>
          <w:szCs w:val="24"/>
        </w:rPr>
        <w:t>. W</w:t>
      </w:r>
      <w:r w:rsidRPr="00537C2B">
        <w:rPr>
          <w:rFonts w:ascii="Times New Roman" w:hAnsi="Times New Roman" w:cs="Times New Roman"/>
          <w:sz w:val="24"/>
          <w:szCs w:val="24"/>
        </w:rPr>
        <w:t>raz z wiekiem odsetek pracujących 40 godzin i więcej w ciągu tygodnia mal</w:t>
      </w:r>
      <w:r w:rsidR="000C06BF">
        <w:rPr>
          <w:rFonts w:ascii="Times New Roman" w:hAnsi="Times New Roman" w:cs="Times New Roman"/>
          <w:sz w:val="24"/>
          <w:szCs w:val="24"/>
        </w:rPr>
        <w:t>ał</w:t>
      </w:r>
      <w:r w:rsidRPr="00537C2B">
        <w:rPr>
          <w:rFonts w:ascii="Times New Roman" w:hAnsi="Times New Roman" w:cs="Times New Roman"/>
          <w:sz w:val="24"/>
          <w:szCs w:val="24"/>
        </w:rPr>
        <w:t xml:space="preserve"> na rzecz </w:t>
      </w:r>
      <w:r w:rsidR="000C06BF">
        <w:rPr>
          <w:rFonts w:ascii="Times New Roman" w:hAnsi="Times New Roman" w:cs="Times New Roman"/>
          <w:sz w:val="24"/>
          <w:szCs w:val="24"/>
        </w:rPr>
        <w:t xml:space="preserve">pracujących </w:t>
      </w:r>
      <w:r w:rsidR="008D7CDF">
        <w:rPr>
          <w:rFonts w:ascii="Times New Roman" w:hAnsi="Times New Roman" w:cs="Times New Roman"/>
          <w:sz w:val="24"/>
          <w:szCs w:val="24"/>
        </w:rPr>
        <w:t>poniżej 40 godzin tygodniowo</w:t>
      </w:r>
      <w:r w:rsidRPr="00537C2B">
        <w:rPr>
          <w:rFonts w:ascii="Times New Roman" w:hAnsi="Times New Roman" w:cs="Times New Roman"/>
          <w:sz w:val="24"/>
          <w:szCs w:val="24"/>
        </w:rPr>
        <w:t>. Wś</w:t>
      </w:r>
      <w:r w:rsidR="009603DC">
        <w:rPr>
          <w:rFonts w:ascii="Times New Roman" w:hAnsi="Times New Roman" w:cs="Times New Roman"/>
          <w:sz w:val="24"/>
          <w:szCs w:val="24"/>
        </w:rPr>
        <w:t>ród kobiet w grupie wiekowej 65</w:t>
      </w:r>
      <w:r w:rsidR="009603DC">
        <w:rPr>
          <w:rFonts w:ascii="Times New Roman" w:hAnsi="Times New Roman" w:cs="Times New Roman"/>
          <w:sz w:val="24"/>
          <w:szCs w:val="24"/>
        </w:rPr>
        <w:noBreakHyphen/>
      </w:r>
      <w:r w:rsidRPr="00537C2B">
        <w:rPr>
          <w:rFonts w:ascii="Times New Roman" w:hAnsi="Times New Roman" w:cs="Times New Roman"/>
          <w:sz w:val="24"/>
          <w:szCs w:val="24"/>
        </w:rPr>
        <w:t>69 lat można</w:t>
      </w:r>
      <w:r w:rsidR="000C06BF">
        <w:rPr>
          <w:rFonts w:ascii="Times New Roman" w:hAnsi="Times New Roman" w:cs="Times New Roman"/>
          <w:sz w:val="24"/>
          <w:szCs w:val="24"/>
        </w:rPr>
        <w:t xml:space="preserve"> było</w:t>
      </w:r>
      <w:r w:rsidRPr="00537C2B">
        <w:rPr>
          <w:rFonts w:ascii="Times New Roman" w:hAnsi="Times New Roman" w:cs="Times New Roman"/>
          <w:sz w:val="24"/>
          <w:szCs w:val="24"/>
        </w:rPr>
        <w:t xml:space="preserve"> także zauważyć malejący udział osób,</w:t>
      </w:r>
      <w:r w:rsidR="009603DC">
        <w:rPr>
          <w:rFonts w:ascii="Times New Roman" w:hAnsi="Times New Roman" w:cs="Times New Roman"/>
          <w:sz w:val="24"/>
          <w:szCs w:val="24"/>
        </w:rPr>
        <w:t xml:space="preserve"> które przepracowały 20-29 i 30</w:t>
      </w:r>
      <w:r w:rsidR="009603DC">
        <w:rPr>
          <w:rFonts w:ascii="Times New Roman" w:hAnsi="Times New Roman" w:cs="Times New Roman"/>
          <w:sz w:val="24"/>
          <w:szCs w:val="24"/>
        </w:rPr>
        <w:noBreakHyphen/>
      </w:r>
      <w:r w:rsidRPr="00537C2B">
        <w:rPr>
          <w:rFonts w:ascii="Times New Roman" w:hAnsi="Times New Roman" w:cs="Times New Roman"/>
          <w:sz w:val="24"/>
          <w:szCs w:val="24"/>
        </w:rPr>
        <w:t>39 godzin w tygodniu.</w:t>
      </w:r>
    </w:p>
    <w:p w:rsidR="003310FA" w:rsidRPr="003A2E92" w:rsidRDefault="00F858CB" w:rsidP="003A2E92">
      <w:pPr>
        <w:pStyle w:val="Legenda"/>
        <w:spacing w:after="60"/>
        <w:jc w:val="both"/>
        <w:rPr>
          <w:rFonts w:ascii="Times New Roman" w:hAnsi="Times New Roman" w:cs="Times New Roman"/>
          <w:color w:val="auto"/>
          <w:szCs w:val="22"/>
          <w:vertAlign w:val="superscript"/>
        </w:rPr>
      </w:pPr>
      <w:r w:rsidRPr="003A2E92">
        <w:rPr>
          <w:rFonts w:ascii="Times New Roman" w:hAnsi="Times New Roman" w:cs="Times New Roman"/>
          <w:color w:val="auto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Cs w:val="22"/>
        </w:rPr>
        <w:t>2.6</w:t>
      </w:r>
      <w:r w:rsidRPr="003A2E92">
        <w:rPr>
          <w:rFonts w:ascii="Times New Roman" w:hAnsi="Times New Roman" w:cs="Times New Roman"/>
          <w:color w:val="auto"/>
          <w:szCs w:val="22"/>
        </w:rPr>
        <w:t xml:space="preserve">. </w:t>
      </w:r>
      <w:r w:rsidR="003310FA" w:rsidRPr="003A2E92">
        <w:rPr>
          <w:rFonts w:ascii="Times New Roman" w:hAnsi="Times New Roman" w:cs="Times New Roman"/>
          <w:color w:val="auto"/>
          <w:szCs w:val="22"/>
        </w:rPr>
        <w:t>Pracujący w wieku 50-69 lat wg liczby przepracowany</w:t>
      </w:r>
      <w:r w:rsidRPr="003A2E92">
        <w:rPr>
          <w:rFonts w:ascii="Times New Roman" w:hAnsi="Times New Roman" w:cs="Times New Roman"/>
          <w:color w:val="auto"/>
          <w:szCs w:val="22"/>
        </w:rPr>
        <w:t>ch godzin w tygodniu, płci oraz </w:t>
      </w:r>
      <w:r w:rsidR="003310FA" w:rsidRPr="003A2E92">
        <w:rPr>
          <w:rFonts w:ascii="Times New Roman" w:hAnsi="Times New Roman" w:cs="Times New Roman"/>
          <w:color w:val="auto"/>
          <w:szCs w:val="22"/>
        </w:rPr>
        <w:t>grup wieku</w:t>
      </w:r>
      <w:r w:rsidRPr="003A2E92">
        <w:rPr>
          <w:rFonts w:ascii="Times New Roman" w:hAnsi="Times New Roman" w:cs="Times New Roman"/>
          <w:color w:val="auto"/>
          <w:szCs w:val="22"/>
          <w:vertAlign w:val="superscript"/>
        </w:rPr>
        <w:t>*</w:t>
      </w:r>
    </w:p>
    <w:tbl>
      <w:tblPr>
        <w:tblW w:w="892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65"/>
        <w:gridCol w:w="1501"/>
        <w:gridCol w:w="1271"/>
        <w:gridCol w:w="1271"/>
        <w:gridCol w:w="1271"/>
        <w:gridCol w:w="1271"/>
        <w:gridCol w:w="1271"/>
      </w:tblGrid>
      <w:tr w:rsidR="00B44BA1" w:rsidRPr="00B44BA1" w:rsidTr="00490C65">
        <w:trPr>
          <w:trHeight w:val="285"/>
        </w:trPr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A1" w:rsidRPr="00B44BA1" w:rsidRDefault="0022500E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BA1" w:rsidRPr="00B44BA1" w:rsidRDefault="00B44BA1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BA1" w:rsidRPr="00B44BA1" w:rsidRDefault="00B44BA1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Pracujący, którzy w ciągu tygodnia przepracowali:</w:t>
            </w:r>
          </w:p>
        </w:tc>
      </w:tr>
      <w:tr w:rsidR="00B44BA1" w:rsidRPr="00B44BA1" w:rsidTr="00490C65">
        <w:trPr>
          <w:trHeight w:val="855"/>
        </w:trPr>
        <w:tc>
          <w:tcPr>
            <w:tcW w:w="256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A1" w:rsidRPr="00B44BA1" w:rsidRDefault="00B44BA1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0-19 godzin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A1" w:rsidRPr="00B44BA1" w:rsidRDefault="00B44BA1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20-29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A1" w:rsidRPr="00B44BA1" w:rsidRDefault="00B44BA1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30-39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4BA1" w:rsidRPr="00B44BA1" w:rsidRDefault="00B44BA1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 godzin i więcej</w:t>
            </w:r>
          </w:p>
        </w:tc>
      </w:tr>
      <w:tr w:rsidR="00B44BA1" w:rsidRPr="00B44BA1" w:rsidTr="0022500E">
        <w:trPr>
          <w:trHeight w:val="285"/>
        </w:trPr>
        <w:tc>
          <w:tcPr>
            <w:tcW w:w="256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BA1" w:rsidRPr="00B44BA1" w:rsidRDefault="00B44BA1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BA1" w:rsidRPr="00B44BA1" w:rsidRDefault="00B44BA1" w:rsidP="00490C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3809,8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5,6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6,4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6,0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82,0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50 - 54 lata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1853,8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86,0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55 - 59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1315,5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83,1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60 - 64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496,9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70,9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65 - 69 lat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143,6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60,0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44BA1" w:rsidRPr="00B44BA1" w:rsidTr="00B44BA1">
        <w:trPr>
          <w:trHeight w:val="285"/>
        </w:trPr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2141,3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86,9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50 - 54 lata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948,9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90,7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55 - 59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780,3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88,7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60 - 64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324,8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78,0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65 - 69 lat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87,3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62,9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1668,5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75,8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50 - 54 lata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904,9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7,3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81,0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55 - 59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535,2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75,0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60 - 64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172,1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16,5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15,8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10,4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57,3</w:t>
            </w:r>
          </w:p>
        </w:tc>
      </w:tr>
      <w:tr w:rsidR="00B44BA1" w:rsidRPr="00B44BA1" w:rsidTr="00F858CB">
        <w:trPr>
          <w:trHeight w:val="285"/>
        </w:trPr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65 - 69 lat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BA1" w:rsidRPr="00B44BA1" w:rsidRDefault="00B44BA1" w:rsidP="000C06B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4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55,4</w:t>
            </w:r>
          </w:p>
        </w:tc>
      </w:tr>
    </w:tbl>
    <w:p w:rsidR="00F858CB" w:rsidRPr="003A2E92" w:rsidRDefault="00F858CB" w:rsidP="00F858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A2E92">
        <w:rPr>
          <w:rFonts w:ascii="Times New Roman" w:hAnsi="Times New Roman" w:cs="Times New Roman"/>
          <w:sz w:val="20"/>
          <w:szCs w:val="20"/>
        </w:rPr>
        <w:t>* bez osób o nieustalonej liczbie godzin</w:t>
      </w:r>
    </w:p>
    <w:p w:rsidR="00271254" w:rsidRDefault="00271254" w:rsidP="00161F1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F10" w:rsidRPr="00271254" w:rsidRDefault="00AD0AAC" w:rsidP="00161F1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2.3</w:t>
      </w:r>
      <w:r w:rsidR="00675E7E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161F10" w:rsidRPr="00271254">
        <w:rPr>
          <w:rFonts w:ascii="Times New Roman" w:hAnsi="Times New Roman" w:cs="Times New Roman"/>
          <w:b/>
          <w:sz w:val="28"/>
          <w:szCs w:val="24"/>
        </w:rPr>
        <w:t>Bezrobotni</w:t>
      </w:r>
      <w:r w:rsidR="00271254" w:rsidRPr="00271254">
        <w:rPr>
          <w:rFonts w:ascii="Times New Roman" w:hAnsi="Times New Roman" w:cs="Times New Roman"/>
          <w:b/>
          <w:sz w:val="28"/>
          <w:szCs w:val="24"/>
        </w:rPr>
        <w:t xml:space="preserve"> w wieku 50-69 lat</w:t>
      </w:r>
    </w:p>
    <w:p w:rsidR="00B44BA1" w:rsidRPr="00271254" w:rsidRDefault="00161F10" w:rsidP="00B1325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Wyniki NSP</w:t>
      </w:r>
      <w:r w:rsidRPr="00886610">
        <w:rPr>
          <w:rFonts w:ascii="Times New Roman" w:hAnsi="Times New Roman" w:cs="Times New Roman"/>
          <w:sz w:val="24"/>
          <w:szCs w:val="24"/>
        </w:rPr>
        <w:t xml:space="preserve"> wykazały, że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AD0AAC">
        <w:rPr>
          <w:rFonts w:ascii="Times New Roman" w:hAnsi="Times New Roman" w:cs="Times New Roman"/>
          <w:sz w:val="24"/>
          <w:szCs w:val="24"/>
        </w:rPr>
        <w:t xml:space="preserve">końcu </w:t>
      </w:r>
      <w:r>
        <w:rPr>
          <w:rFonts w:ascii="Times New Roman" w:hAnsi="Times New Roman" w:cs="Times New Roman"/>
          <w:sz w:val="24"/>
          <w:szCs w:val="24"/>
        </w:rPr>
        <w:t>marc</w:t>
      </w:r>
      <w:r w:rsidR="00AD0AA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2011 r. liczba bezrobotnych</w:t>
      </w:r>
      <w:r w:rsidRPr="008866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wieku 50-69 lat </w:t>
      </w:r>
      <w:r w:rsidRPr="00886610">
        <w:rPr>
          <w:rFonts w:ascii="Times New Roman" w:hAnsi="Times New Roman" w:cs="Times New Roman"/>
          <w:sz w:val="24"/>
          <w:szCs w:val="24"/>
        </w:rPr>
        <w:t>wyniosła 411,8</w:t>
      </w:r>
      <w:r>
        <w:rPr>
          <w:rFonts w:ascii="Times New Roman" w:hAnsi="Times New Roman" w:cs="Times New Roman"/>
          <w:sz w:val="24"/>
          <w:szCs w:val="24"/>
        </w:rPr>
        <w:t xml:space="preserve"> tys. osób, co stanowiło 20,1% ogółu bezrobotnych (</w:t>
      </w:r>
      <w:r w:rsidRPr="00886610">
        <w:rPr>
          <w:rFonts w:ascii="Times New Roman" w:hAnsi="Times New Roman" w:cs="Times New Roman"/>
          <w:sz w:val="24"/>
          <w:szCs w:val="24"/>
        </w:rPr>
        <w:t>2</w:t>
      </w:r>
      <w:r w:rsidR="003C0D74">
        <w:rPr>
          <w:rFonts w:ascii="Times New Roman" w:hAnsi="Times New Roman" w:cs="Times New Roman"/>
          <w:sz w:val="24"/>
          <w:szCs w:val="24"/>
        </w:rPr>
        <w:t> </w:t>
      </w:r>
      <w:r w:rsidRPr="00886610">
        <w:rPr>
          <w:rFonts w:ascii="Times New Roman" w:hAnsi="Times New Roman" w:cs="Times New Roman"/>
          <w:sz w:val="24"/>
          <w:szCs w:val="24"/>
        </w:rPr>
        <w:t>050,1</w:t>
      </w:r>
      <w:r>
        <w:rPr>
          <w:rFonts w:ascii="Times New Roman" w:hAnsi="Times New Roman" w:cs="Times New Roman"/>
          <w:sz w:val="24"/>
          <w:szCs w:val="24"/>
        </w:rPr>
        <w:t xml:space="preserve"> tys. osób). </w:t>
      </w:r>
      <w:r w:rsidRPr="008941B1">
        <w:rPr>
          <w:rFonts w:ascii="Times New Roman" w:hAnsi="Times New Roman" w:cs="Times New Roman"/>
          <w:sz w:val="24"/>
          <w:szCs w:val="24"/>
        </w:rPr>
        <w:t xml:space="preserve">Większość populacji bezrobotnych </w:t>
      </w:r>
      <w:r>
        <w:rPr>
          <w:rFonts w:ascii="Times New Roman" w:hAnsi="Times New Roman" w:cs="Times New Roman"/>
          <w:sz w:val="24"/>
          <w:szCs w:val="24"/>
        </w:rPr>
        <w:t xml:space="preserve">w wieku 50-69 lat </w:t>
      </w:r>
      <w:r w:rsidRPr="008941B1">
        <w:rPr>
          <w:rFonts w:ascii="Times New Roman" w:hAnsi="Times New Roman" w:cs="Times New Roman"/>
          <w:sz w:val="24"/>
          <w:szCs w:val="24"/>
        </w:rPr>
        <w:t>stanowili mężczyźni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Pr="008941B1">
        <w:rPr>
          <w:rFonts w:ascii="Times New Roman" w:hAnsi="Times New Roman" w:cs="Times New Roman"/>
          <w:sz w:val="24"/>
          <w:szCs w:val="24"/>
        </w:rPr>
        <w:t>242,7</w:t>
      </w:r>
      <w:r>
        <w:rPr>
          <w:rFonts w:ascii="Times New Roman" w:hAnsi="Times New Roman" w:cs="Times New Roman"/>
          <w:sz w:val="24"/>
          <w:szCs w:val="24"/>
        </w:rPr>
        <w:t xml:space="preserve"> tys., tj. 58,9%, natomiast kobiet było </w:t>
      </w:r>
      <w:r w:rsidRPr="008941B1">
        <w:rPr>
          <w:rFonts w:ascii="Times New Roman" w:hAnsi="Times New Roman" w:cs="Times New Roman"/>
          <w:sz w:val="24"/>
          <w:szCs w:val="24"/>
        </w:rPr>
        <w:t>169,1</w:t>
      </w:r>
      <w:r>
        <w:rPr>
          <w:rFonts w:ascii="Times New Roman" w:hAnsi="Times New Roman" w:cs="Times New Roman"/>
          <w:sz w:val="24"/>
          <w:szCs w:val="24"/>
        </w:rPr>
        <w:t xml:space="preserve"> tys., tj. 41,1%. Zdecydowaną większość bezrobotnych w wieku 50-69 lat stanowili mieszkańcy miast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Pr="00BA6E98">
        <w:rPr>
          <w:rFonts w:ascii="Times New Roman" w:hAnsi="Times New Roman" w:cs="Times New Roman"/>
          <w:sz w:val="24"/>
          <w:szCs w:val="24"/>
        </w:rPr>
        <w:t>291,1</w:t>
      </w:r>
      <w:r>
        <w:rPr>
          <w:rFonts w:ascii="Times New Roman" w:hAnsi="Times New Roman" w:cs="Times New Roman"/>
          <w:sz w:val="24"/>
          <w:szCs w:val="24"/>
        </w:rPr>
        <w:t xml:space="preserve"> tys., tj. 70,7%, natomiast mieszkańców wsi było 120,7 tys., tj. 29,3%. </w:t>
      </w:r>
      <w:r w:rsidRPr="00A034A1">
        <w:rPr>
          <w:rFonts w:ascii="Times New Roman" w:hAnsi="Times New Roman" w:cs="Times New Roman"/>
          <w:sz w:val="24"/>
          <w:szCs w:val="24"/>
        </w:rPr>
        <w:t xml:space="preserve">Udział bezrobotnych mężczyzn w miastach był </w:t>
      </w:r>
      <w:r>
        <w:rPr>
          <w:rFonts w:ascii="Times New Roman" w:hAnsi="Times New Roman" w:cs="Times New Roman"/>
          <w:sz w:val="24"/>
          <w:szCs w:val="24"/>
        </w:rPr>
        <w:t>mniejszy niż</w:t>
      </w:r>
      <w:r w:rsidRPr="00A034A1">
        <w:rPr>
          <w:rFonts w:ascii="Times New Roman" w:hAnsi="Times New Roman" w:cs="Times New Roman"/>
          <w:sz w:val="24"/>
          <w:szCs w:val="24"/>
        </w:rPr>
        <w:t xml:space="preserve"> udział bezrobotnych</w:t>
      </w:r>
      <w:r>
        <w:rPr>
          <w:rFonts w:ascii="Times New Roman" w:hAnsi="Times New Roman" w:cs="Times New Roman"/>
          <w:sz w:val="24"/>
          <w:szCs w:val="24"/>
        </w:rPr>
        <w:t xml:space="preserve"> mężczyzn na wsi – odpowiednio 57,2% i 63,2%. Ze względu na wiek najliczniejszą grupę wśród bezrobotnych w wieku 50-69 lat stanowiły osoby w wieku </w:t>
      </w:r>
      <w:r w:rsidR="0065037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50-54 lata – 220,1 tys., tj. 53,5%. Kolejną co do wielkości grupą były osoby w wieku 55-59 lat – 150,7 tys., tj. 36,6%. Pozostałe grupy wiekowe, tj. 60-64 lata i 65-69 lat stanowiły odpowiednio 9,2% i 0,8% ogółu bezrobotnych w wieku 50-69 lat. Podobna prawidłowość charakteryzowała również subpopulacje bezrobotnych wydzielone ze względu na płeć i </w:t>
      </w:r>
      <w:r w:rsidRPr="00271254">
        <w:rPr>
          <w:rFonts w:ascii="Times New Roman" w:hAnsi="Times New Roman" w:cs="Times New Roman"/>
          <w:sz w:val="24"/>
          <w:szCs w:val="24"/>
        </w:rPr>
        <w:t>miejsce zamieszkania.</w:t>
      </w:r>
    </w:p>
    <w:p w:rsidR="00022DC1" w:rsidRPr="00B1325B" w:rsidRDefault="006104A4" w:rsidP="006104A4">
      <w:pPr>
        <w:pStyle w:val="Legenda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B1325B">
        <w:rPr>
          <w:rFonts w:ascii="Times New Roman" w:hAnsi="Times New Roman" w:cs="Times New Roman"/>
          <w:color w:val="auto"/>
          <w:sz w:val="20"/>
          <w:szCs w:val="22"/>
        </w:rPr>
        <w:t xml:space="preserve">Wykres 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>2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.8</w:t>
      </w:r>
      <w:r w:rsidRPr="00B1325B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022DC1" w:rsidRPr="00B1325B">
        <w:rPr>
          <w:rFonts w:ascii="Times New Roman" w:hAnsi="Times New Roman" w:cs="Times New Roman"/>
          <w:bCs w:val="0"/>
          <w:color w:val="auto"/>
          <w:sz w:val="20"/>
          <w:szCs w:val="22"/>
        </w:rPr>
        <w:t xml:space="preserve">Struktura bezrobotnych w wieku 50-69 lat według grup wieku, płci i miejsca zamieszkania </w:t>
      </w:r>
    </w:p>
    <w:p w:rsidR="00C566EE" w:rsidRDefault="00CD0EA7" w:rsidP="00B44B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EA7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638425" cy="2714625"/>
            <wp:effectExtent l="19050" t="0" r="0" b="0"/>
            <wp:docPr id="11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CD0EA7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086100" cy="2743200"/>
            <wp:effectExtent l="0" t="0" r="0" b="0"/>
            <wp:docPr id="1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61F10" w:rsidRDefault="00161F10" w:rsidP="00B1325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Biorąc pod uwagę udział grupy wiekowej 50-69 lat w ogólnej liczbi</w:t>
      </w:r>
      <w:r w:rsidR="003C0D74">
        <w:rPr>
          <w:rFonts w:ascii="Times New Roman" w:hAnsi="Times New Roman" w:cs="Times New Roman"/>
          <w:sz w:val="24"/>
          <w:szCs w:val="24"/>
        </w:rPr>
        <w:t>e bezrobotnych w </w:t>
      </w:r>
      <w:r>
        <w:rPr>
          <w:rFonts w:ascii="Times New Roman" w:hAnsi="Times New Roman" w:cs="Times New Roman"/>
          <w:sz w:val="24"/>
          <w:szCs w:val="24"/>
        </w:rPr>
        <w:t>województwie, największy udział tej grupy odnotowano w województwie dolnośląskim – 24,4% oraz zachodniopomorskim – 23,6%, natomiast najmniejszy w województwie podkarpackim – 14,4% i lubelskim 15,7%. We wszystkich województwach struktura bezrobotnych według grup wieku kształtowała się podobnie – najliczniejszą grupą była grupa osób w wieku 50-54 lata, a najmniej liczną grupa osób w wieku 65-69 lat.</w:t>
      </w:r>
    </w:p>
    <w:p w:rsidR="00377DB5" w:rsidRDefault="00377DB5" w:rsidP="00377DB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0"/>
        </w:rPr>
      </w:pPr>
    </w:p>
    <w:p w:rsidR="00377DB5" w:rsidRDefault="00377DB5" w:rsidP="00377D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7DB5">
        <w:rPr>
          <w:rFonts w:ascii="Times New Roman" w:hAnsi="Times New Roman" w:cs="Times New Roman"/>
          <w:b/>
          <w:sz w:val="20"/>
        </w:rPr>
        <w:lastRenderedPageBreak/>
        <w:t xml:space="preserve">Tabela </w:t>
      </w:r>
      <w:r w:rsidR="00467886">
        <w:rPr>
          <w:rFonts w:ascii="Times New Roman" w:hAnsi="Times New Roman" w:cs="Times New Roman"/>
          <w:b/>
          <w:sz w:val="20"/>
        </w:rPr>
        <w:t>2.7</w:t>
      </w:r>
      <w:r w:rsidRPr="00377DB5">
        <w:rPr>
          <w:rFonts w:ascii="Times New Roman" w:hAnsi="Times New Roman" w:cs="Times New Roman"/>
          <w:b/>
          <w:sz w:val="20"/>
        </w:rPr>
        <w:t xml:space="preserve">. </w:t>
      </w:r>
      <w:r w:rsidRPr="00377DB5">
        <w:rPr>
          <w:rFonts w:ascii="Times New Roman" w:eastAsia="Times New Roman" w:hAnsi="Times New Roman" w:cs="Times New Roman"/>
          <w:b/>
          <w:sz w:val="20"/>
          <w:lang w:eastAsia="pl-PL"/>
        </w:rPr>
        <w:t>Bezrobocie osób w wieku 56-69 lat według województw</w:t>
      </w:r>
    </w:p>
    <w:tbl>
      <w:tblPr>
        <w:tblW w:w="9089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39"/>
        <w:gridCol w:w="3387"/>
        <w:gridCol w:w="1718"/>
        <w:gridCol w:w="1719"/>
        <w:gridCol w:w="2026"/>
      </w:tblGrid>
      <w:tr w:rsidR="00DF579B" w:rsidRPr="00C566EE" w:rsidTr="0065037C">
        <w:trPr>
          <w:trHeight w:val="656"/>
        </w:trPr>
        <w:tc>
          <w:tcPr>
            <w:tcW w:w="362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79B" w:rsidRPr="00C566EE" w:rsidRDefault="0022500E" w:rsidP="00391C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79B" w:rsidRPr="00C566EE" w:rsidRDefault="00DF579B" w:rsidP="00391C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Bezrobotni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579B" w:rsidRPr="00C566EE" w:rsidRDefault="00DF579B" w:rsidP="00391C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Stopa bezrobocia</w:t>
            </w:r>
          </w:p>
        </w:tc>
      </w:tr>
      <w:tr w:rsidR="00DF579B" w:rsidRPr="00C566EE" w:rsidTr="0065037C">
        <w:trPr>
          <w:trHeight w:val="312"/>
        </w:trPr>
        <w:tc>
          <w:tcPr>
            <w:tcW w:w="362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79B" w:rsidRPr="00C566EE" w:rsidRDefault="00DF579B" w:rsidP="00391C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579B" w:rsidRPr="00C566EE" w:rsidRDefault="00DF579B" w:rsidP="00391C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DF579B" w:rsidRPr="00C566EE" w:rsidTr="0065037C">
        <w:trPr>
          <w:trHeight w:val="312"/>
        </w:trPr>
        <w:tc>
          <w:tcPr>
            <w:tcW w:w="362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22500E" w:rsidP="00391CD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gółem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411,8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9,8</w:t>
            </w:r>
          </w:p>
        </w:tc>
      </w:tr>
      <w:tr w:rsidR="00DF579B" w:rsidRPr="00C566EE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Dolnośląskie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9,8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11,9</w:t>
            </w:r>
          </w:p>
        </w:tc>
      </w:tr>
      <w:tr w:rsidR="00DF579B" w:rsidRPr="00C566EE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Kujawsko-pomorskie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25,2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6,1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11,3</w:t>
            </w:r>
          </w:p>
        </w:tc>
      </w:tr>
      <w:tr w:rsidR="00DF579B" w:rsidRPr="00C566EE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Lubelskie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19,0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4,6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8,1</w:t>
            </w:r>
          </w:p>
        </w:tc>
      </w:tr>
      <w:tr w:rsidR="00DF579B" w:rsidRPr="00C566EE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Lubuskie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13,8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12,1</w:t>
            </w:r>
          </w:p>
        </w:tc>
      </w:tr>
      <w:tr w:rsidR="00DF579B" w:rsidRPr="00C566EE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Łódzkie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7,6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10,4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Małopolskie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25,7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6,2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7,4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Mazowieckie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53,9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13,1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8,5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Opolskie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11,2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2,7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10,5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18,6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4,5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8,5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Podlaskie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12,4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9,8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Pomorskie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6,1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10,3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Śląskie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46,9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11,4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Świętokrzyskie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14,5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3,5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Warmińsko-mazurskie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19,3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4,7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13,0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Wielkopolskie</w:t>
            </w:r>
          </w:p>
        </w:tc>
        <w:tc>
          <w:tcPr>
            <w:tcW w:w="1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28,5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6,9</w:t>
            </w:r>
          </w:p>
        </w:tc>
        <w:tc>
          <w:tcPr>
            <w:tcW w:w="2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7,6</w:t>
            </w:r>
          </w:p>
        </w:tc>
      </w:tr>
      <w:tr w:rsidR="00DF579B" w:rsidRPr="003C0D74" w:rsidTr="0065037C">
        <w:trPr>
          <w:trHeight w:val="312"/>
        </w:trPr>
        <w:tc>
          <w:tcPr>
            <w:tcW w:w="2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Zachodniopomorskie</w:t>
            </w: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25,9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C566EE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566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6,3</w:t>
            </w:r>
          </w:p>
        </w:tc>
        <w:tc>
          <w:tcPr>
            <w:tcW w:w="20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79B" w:rsidRPr="003C0D74" w:rsidRDefault="00DF579B" w:rsidP="00391CD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13,0</w:t>
            </w:r>
          </w:p>
        </w:tc>
      </w:tr>
    </w:tbl>
    <w:p w:rsidR="00DF579B" w:rsidRPr="00990521" w:rsidRDefault="00DF579B" w:rsidP="0013258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579B" w:rsidRDefault="00161F10" w:rsidP="00377D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D74">
        <w:rPr>
          <w:rFonts w:ascii="Times New Roman" w:hAnsi="Times New Roman" w:cs="Times New Roman"/>
          <w:sz w:val="24"/>
          <w:szCs w:val="24"/>
        </w:rPr>
        <w:t xml:space="preserve">Stopa bezrobocia w grupie osób w wieku 50-69 lat była </w:t>
      </w:r>
      <w:r w:rsidR="003C0D74" w:rsidRPr="003C0D74">
        <w:rPr>
          <w:rFonts w:ascii="Times New Roman" w:hAnsi="Times New Roman" w:cs="Times New Roman"/>
          <w:sz w:val="24"/>
          <w:szCs w:val="24"/>
        </w:rPr>
        <w:t>o 2,2 p.</w:t>
      </w:r>
      <w:r w:rsidR="003A1579">
        <w:rPr>
          <w:rFonts w:ascii="Times New Roman" w:hAnsi="Times New Roman" w:cs="Times New Roman"/>
          <w:sz w:val="24"/>
          <w:szCs w:val="24"/>
        </w:rPr>
        <w:t xml:space="preserve"> </w:t>
      </w:r>
      <w:r w:rsidR="003C0D74" w:rsidRPr="003C0D74">
        <w:rPr>
          <w:rFonts w:ascii="Times New Roman" w:hAnsi="Times New Roman" w:cs="Times New Roman"/>
          <w:sz w:val="24"/>
          <w:szCs w:val="24"/>
        </w:rPr>
        <w:t xml:space="preserve">proc. </w:t>
      </w:r>
      <w:r w:rsidRPr="003C0D74">
        <w:rPr>
          <w:rFonts w:ascii="Times New Roman" w:hAnsi="Times New Roman" w:cs="Times New Roman"/>
          <w:sz w:val="24"/>
          <w:szCs w:val="24"/>
        </w:rPr>
        <w:t xml:space="preserve">niższa niż stopa bezrobocia dla ogółu ludności – 12,0%. Wśród </w:t>
      </w:r>
      <w:r w:rsidRPr="00260448">
        <w:rPr>
          <w:rFonts w:ascii="Times New Roman" w:hAnsi="Times New Roman" w:cs="Times New Roman"/>
          <w:sz w:val="24"/>
          <w:szCs w:val="24"/>
        </w:rPr>
        <w:t xml:space="preserve">osób w wieku 50-69 lat </w:t>
      </w:r>
      <w:r w:rsidR="009603DC" w:rsidRPr="00260448">
        <w:rPr>
          <w:rFonts w:ascii="Times New Roman" w:hAnsi="Times New Roman" w:cs="Times New Roman"/>
          <w:sz w:val="24"/>
          <w:szCs w:val="24"/>
        </w:rPr>
        <w:t>stopa</w:t>
      </w:r>
      <w:r w:rsidRPr="00260448">
        <w:rPr>
          <w:rFonts w:ascii="Times New Roman" w:hAnsi="Times New Roman" w:cs="Times New Roman"/>
          <w:sz w:val="24"/>
          <w:szCs w:val="24"/>
        </w:rPr>
        <w:t xml:space="preserve"> bezrobocia </w:t>
      </w:r>
      <w:r w:rsidR="009603DC" w:rsidRPr="00260448">
        <w:rPr>
          <w:rFonts w:ascii="Times New Roman" w:hAnsi="Times New Roman" w:cs="Times New Roman"/>
          <w:sz w:val="24"/>
          <w:szCs w:val="24"/>
        </w:rPr>
        <w:t>była wyższa</w:t>
      </w:r>
      <w:r w:rsidRPr="00260448">
        <w:rPr>
          <w:rFonts w:ascii="Times New Roman" w:hAnsi="Times New Roman" w:cs="Times New Roman"/>
          <w:sz w:val="24"/>
          <w:szCs w:val="24"/>
        </w:rPr>
        <w:t xml:space="preserve"> dla mężczyzn niż dla kobiet niezależnie od miejsca zamieszkania.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955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3112"/>
        <w:gridCol w:w="1723"/>
        <w:gridCol w:w="1030"/>
        <w:gridCol w:w="1030"/>
        <w:gridCol w:w="1030"/>
        <w:gridCol w:w="1030"/>
      </w:tblGrid>
      <w:tr w:rsidR="00161F10" w:rsidRPr="00377DB5" w:rsidTr="0065037C">
        <w:trPr>
          <w:trHeight w:val="496"/>
        </w:trPr>
        <w:tc>
          <w:tcPr>
            <w:tcW w:w="89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1F10" w:rsidRPr="00377DB5" w:rsidRDefault="00990521" w:rsidP="00467886">
            <w:pPr>
              <w:spacing w:after="0"/>
              <w:ind w:left="1223" w:hanging="1223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377DB5">
              <w:rPr>
                <w:rFonts w:ascii="Times New Roman" w:hAnsi="Times New Roman" w:cs="Times New Roman"/>
                <w:b/>
                <w:sz w:val="20"/>
              </w:rPr>
              <w:t xml:space="preserve">Tabela </w:t>
            </w:r>
            <w:r w:rsidR="00467886">
              <w:rPr>
                <w:rFonts w:ascii="Times New Roman" w:hAnsi="Times New Roman" w:cs="Times New Roman"/>
                <w:b/>
                <w:sz w:val="20"/>
              </w:rPr>
              <w:t>2.8</w:t>
            </w:r>
            <w:r w:rsidRPr="00377DB5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="00161F10" w:rsidRPr="00377DB5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pl-PL"/>
              </w:rPr>
              <w:t>Stopa bezrobocia osób w wieku 56-69 lat według grup wieku oraz płci i miejsca zamieszkania</w:t>
            </w:r>
          </w:p>
        </w:tc>
      </w:tr>
      <w:tr w:rsidR="00161F10" w:rsidRPr="00211B06" w:rsidTr="0065037C">
        <w:trPr>
          <w:trHeight w:val="435"/>
        </w:trPr>
        <w:tc>
          <w:tcPr>
            <w:tcW w:w="3112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Wiek (w latach)</w:t>
            </w:r>
          </w:p>
        </w:tc>
      </w:tr>
      <w:tr w:rsidR="00161F10" w:rsidRPr="00211B06" w:rsidTr="0065037C">
        <w:trPr>
          <w:trHeight w:val="435"/>
        </w:trPr>
        <w:tc>
          <w:tcPr>
            <w:tcW w:w="3112" w:type="dxa"/>
            <w:vMerge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50-54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55-59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60-64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65-69</w:t>
            </w:r>
          </w:p>
        </w:tc>
      </w:tr>
      <w:tr w:rsidR="00161F10" w:rsidRPr="00211B06" w:rsidTr="0065037C">
        <w:trPr>
          <w:trHeight w:val="325"/>
        </w:trPr>
        <w:tc>
          <w:tcPr>
            <w:tcW w:w="31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161F10" w:rsidRPr="00211B06" w:rsidTr="0065037C">
        <w:trPr>
          <w:trHeight w:val="325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22500E" w:rsidP="00161F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gółem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3C0D74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9,8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3C0D74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D7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10,6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7,1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2,2</w:t>
            </w:r>
          </w:p>
        </w:tc>
      </w:tr>
      <w:tr w:rsidR="00161F10" w:rsidRPr="00211B06" w:rsidTr="0065037C">
        <w:trPr>
          <w:trHeight w:val="325"/>
        </w:trPr>
        <w:tc>
          <w:tcPr>
            <w:tcW w:w="311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Mężczyźni</w:t>
            </w:r>
          </w:p>
        </w:tc>
        <w:tc>
          <w:tcPr>
            <w:tcW w:w="172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10,2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10,8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10,7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9,0</w:t>
            </w:r>
          </w:p>
        </w:tc>
        <w:tc>
          <w:tcPr>
            <w:tcW w:w="103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2,3</w:t>
            </w:r>
          </w:p>
        </w:tc>
      </w:tr>
      <w:tr w:rsidR="00161F10" w:rsidRPr="00211B06" w:rsidTr="0065037C">
        <w:trPr>
          <w:trHeight w:val="325"/>
        </w:trPr>
        <w:tc>
          <w:tcPr>
            <w:tcW w:w="311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Kobiety</w:t>
            </w:r>
          </w:p>
        </w:tc>
        <w:tc>
          <w:tcPr>
            <w:tcW w:w="172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9,2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10,4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9,6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3,1</w:t>
            </w:r>
          </w:p>
        </w:tc>
        <w:tc>
          <w:tcPr>
            <w:tcW w:w="103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2,1</w:t>
            </w:r>
          </w:p>
        </w:tc>
      </w:tr>
      <w:tr w:rsidR="00161F10" w:rsidRPr="00211B06" w:rsidTr="0065037C">
        <w:trPr>
          <w:trHeight w:val="325"/>
        </w:trPr>
        <w:tc>
          <w:tcPr>
            <w:tcW w:w="3112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72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10,8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11,7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11,2</w:t>
            </w:r>
          </w:p>
        </w:tc>
        <w:tc>
          <w:tcPr>
            <w:tcW w:w="10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8,1</w:t>
            </w:r>
          </w:p>
        </w:tc>
        <w:tc>
          <w:tcPr>
            <w:tcW w:w="103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</w:tr>
      <w:tr w:rsidR="00161F10" w:rsidRPr="00211B06" w:rsidTr="0065037C">
        <w:trPr>
          <w:trHeight w:val="325"/>
        </w:trPr>
        <w:tc>
          <w:tcPr>
            <w:tcW w:w="31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5C508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17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5C508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7,9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5C508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8,8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5C508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8,5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5C508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5,0</w:t>
            </w:r>
          </w:p>
        </w:tc>
        <w:tc>
          <w:tcPr>
            <w:tcW w:w="103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5C508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0,6</w:t>
            </w:r>
          </w:p>
        </w:tc>
      </w:tr>
    </w:tbl>
    <w:p w:rsidR="005C508D" w:rsidRPr="00990521" w:rsidRDefault="005C508D" w:rsidP="005C50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537D" w:rsidRDefault="00161F10" w:rsidP="00377D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Analizując wykształcenie osób bezrobotnych w wie</w:t>
      </w:r>
      <w:r w:rsidR="00022DC1">
        <w:rPr>
          <w:rFonts w:ascii="Times New Roman" w:hAnsi="Times New Roman" w:cs="Times New Roman"/>
          <w:sz w:val="24"/>
          <w:szCs w:val="24"/>
        </w:rPr>
        <w:t>ku 50-69 lat można zauważyć, że </w:t>
      </w:r>
      <w:r>
        <w:rPr>
          <w:rFonts w:ascii="Times New Roman" w:hAnsi="Times New Roman" w:cs="Times New Roman"/>
          <w:sz w:val="24"/>
          <w:szCs w:val="24"/>
        </w:rPr>
        <w:t>osoby z wykształceniem zasadniczym zawodowym stanowiły najliczniejszą gr</w:t>
      </w:r>
      <w:r w:rsidR="00022DC1">
        <w:rPr>
          <w:rFonts w:ascii="Times New Roman" w:hAnsi="Times New Roman" w:cs="Times New Roman"/>
          <w:sz w:val="24"/>
          <w:szCs w:val="24"/>
        </w:rPr>
        <w:t>upę – 162,8 </w:t>
      </w:r>
      <w:r>
        <w:rPr>
          <w:rFonts w:ascii="Times New Roman" w:hAnsi="Times New Roman" w:cs="Times New Roman"/>
          <w:sz w:val="24"/>
          <w:szCs w:val="24"/>
        </w:rPr>
        <w:t xml:space="preserve">tys., tj. 39,5%, a najmniej liczną grupą były osoby </w:t>
      </w:r>
      <w:r w:rsidR="00022DC1">
        <w:rPr>
          <w:rFonts w:ascii="Times New Roman" w:hAnsi="Times New Roman" w:cs="Times New Roman"/>
          <w:sz w:val="24"/>
          <w:szCs w:val="24"/>
        </w:rPr>
        <w:t>z wykształceniem wyższym – 25,9 </w:t>
      </w:r>
      <w:r>
        <w:rPr>
          <w:rFonts w:ascii="Times New Roman" w:hAnsi="Times New Roman" w:cs="Times New Roman"/>
          <w:sz w:val="24"/>
          <w:szCs w:val="24"/>
        </w:rPr>
        <w:t>tys., tj. 6,3%. Drugą co do wielkości grupą były osoby</w:t>
      </w:r>
      <w:r w:rsidR="00022DC1">
        <w:rPr>
          <w:rFonts w:ascii="Times New Roman" w:hAnsi="Times New Roman" w:cs="Times New Roman"/>
          <w:sz w:val="24"/>
          <w:szCs w:val="24"/>
        </w:rPr>
        <w:t xml:space="preserve"> z wykształceniem policealnym i </w:t>
      </w:r>
      <w:r>
        <w:rPr>
          <w:rFonts w:ascii="Times New Roman" w:hAnsi="Times New Roman" w:cs="Times New Roman"/>
          <w:sz w:val="24"/>
          <w:szCs w:val="24"/>
        </w:rPr>
        <w:t xml:space="preserve">średnim zawodowym – 98,5 tys. tj. 23,9%, a grupy osób z wykształceniem średnim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ogólnokształcącym oraz </w:t>
      </w:r>
      <w:r w:rsidR="0054342A" w:rsidRPr="00990521">
        <w:rPr>
          <w:rFonts w:ascii="Times New Roman" w:hAnsi="Times New Roman" w:cs="Times New Roman"/>
          <w:sz w:val="24"/>
          <w:szCs w:val="24"/>
        </w:rPr>
        <w:t>gimnazjalnym i niższym</w:t>
      </w:r>
      <w:r w:rsidR="005434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liczyły o</w:t>
      </w:r>
      <w:r w:rsidR="00990521">
        <w:rPr>
          <w:rFonts w:ascii="Times New Roman" w:hAnsi="Times New Roman" w:cs="Times New Roman"/>
          <w:sz w:val="24"/>
          <w:szCs w:val="24"/>
        </w:rPr>
        <w:t>dpowiednio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 w:rsidR="00990521">
        <w:rPr>
          <w:rFonts w:ascii="Times New Roman" w:hAnsi="Times New Roman" w:cs="Times New Roman"/>
          <w:sz w:val="24"/>
          <w:szCs w:val="24"/>
        </w:rPr>
        <w:t>34,7 tys. (8,4%) i </w:t>
      </w:r>
      <w:r>
        <w:rPr>
          <w:rFonts w:ascii="Times New Roman" w:hAnsi="Times New Roman" w:cs="Times New Roman"/>
          <w:sz w:val="24"/>
          <w:szCs w:val="24"/>
        </w:rPr>
        <w:t xml:space="preserve">89,5 tys. (21,7%). </w:t>
      </w:r>
    </w:p>
    <w:p w:rsidR="00022DC1" w:rsidRPr="00377DB5" w:rsidRDefault="00990521" w:rsidP="00220D39">
      <w:pPr>
        <w:pStyle w:val="Legenda"/>
        <w:spacing w:after="0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377DB5">
        <w:rPr>
          <w:rFonts w:ascii="Times New Roman" w:hAnsi="Times New Roman" w:cs="Times New Roman"/>
          <w:color w:val="auto"/>
          <w:sz w:val="20"/>
          <w:szCs w:val="22"/>
        </w:rPr>
        <w:t xml:space="preserve">Wykres 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>2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.9</w:t>
      </w:r>
      <w:r w:rsidRPr="00377DB5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022DC1" w:rsidRPr="00377DB5">
        <w:rPr>
          <w:rFonts w:ascii="Times New Roman" w:hAnsi="Times New Roman" w:cs="Times New Roman"/>
          <w:bCs w:val="0"/>
          <w:color w:val="auto"/>
          <w:sz w:val="20"/>
          <w:szCs w:val="22"/>
        </w:rPr>
        <w:t>Struktura bezrobotnych w wieku 50-69 lat według wykształcenia i płci</w:t>
      </w:r>
      <w:r w:rsidR="00022DC1" w:rsidRPr="00377DB5">
        <w:rPr>
          <w:rFonts w:ascii="Times New Roman" w:hAnsi="Times New Roman" w:cs="Times New Roman"/>
          <w:bCs w:val="0"/>
          <w:color w:val="auto"/>
          <w:sz w:val="20"/>
          <w:szCs w:val="22"/>
          <w:vertAlign w:val="superscript"/>
        </w:rPr>
        <w:t>*</w:t>
      </w:r>
      <w:r w:rsidR="00022DC1" w:rsidRPr="00377DB5">
        <w:rPr>
          <w:rFonts w:ascii="Times New Roman" w:hAnsi="Times New Roman" w:cs="Times New Roman"/>
          <w:bCs w:val="0"/>
          <w:color w:val="auto"/>
          <w:sz w:val="20"/>
          <w:szCs w:val="22"/>
        </w:rPr>
        <w:t xml:space="preserve"> </w:t>
      </w:r>
    </w:p>
    <w:p w:rsidR="00161F10" w:rsidRDefault="00FC7D00" w:rsidP="00FC7D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D0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100" cy="3390900"/>
            <wp:effectExtent l="0" t="0" r="0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F579B" w:rsidRPr="00377DB5" w:rsidRDefault="00DF579B" w:rsidP="00DF5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77DB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* </w:t>
      </w:r>
      <w:r w:rsidRPr="00377DB5">
        <w:rPr>
          <w:rFonts w:ascii="Times New Roman" w:hAnsi="Times New Roman" w:cs="Times New Roman"/>
          <w:sz w:val="20"/>
          <w:szCs w:val="20"/>
        </w:rPr>
        <w:t>na wykresie nie uwzględniono nieustalonego poziomu wykształcenia</w:t>
      </w:r>
    </w:p>
    <w:p w:rsidR="00161F10" w:rsidRPr="00377DB5" w:rsidRDefault="00DF579B" w:rsidP="00990521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77DB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** łącznie z wykształceniem podstawowym nieukończonym i bez wykształcenia szkolnego</w:t>
      </w:r>
    </w:p>
    <w:p w:rsidR="00161F10" w:rsidRDefault="00161F10" w:rsidP="00377D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Zarówno w miastach jak i na wsi najwięcej bezrobotnych było w grupie osób z wykształceniem zasadniczym zawodowym</w:t>
      </w:r>
      <w:r w:rsidR="00220D39">
        <w:rPr>
          <w:rFonts w:ascii="Times New Roman" w:hAnsi="Times New Roman" w:cs="Times New Roman"/>
          <w:sz w:val="24"/>
          <w:szCs w:val="24"/>
        </w:rPr>
        <w:t>, odpowiednio</w:t>
      </w:r>
      <w:r>
        <w:rPr>
          <w:rFonts w:ascii="Times New Roman" w:hAnsi="Times New Roman" w:cs="Times New Roman"/>
          <w:sz w:val="24"/>
          <w:szCs w:val="24"/>
        </w:rPr>
        <w:t xml:space="preserve"> – 37,4% i 44,8%, a najmniej w grupie osób z wykształceniem wyższym</w:t>
      </w:r>
      <w:r w:rsidR="00220D39">
        <w:rPr>
          <w:rFonts w:ascii="Times New Roman" w:hAnsi="Times New Roman" w:cs="Times New Roman"/>
          <w:sz w:val="24"/>
          <w:szCs w:val="24"/>
        </w:rPr>
        <w:t>, odpowiednio</w:t>
      </w:r>
      <w:r>
        <w:rPr>
          <w:rFonts w:ascii="Times New Roman" w:hAnsi="Times New Roman" w:cs="Times New Roman"/>
          <w:sz w:val="24"/>
          <w:szCs w:val="24"/>
        </w:rPr>
        <w:t xml:space="preserve"> – 7,9% i 2,3%. </w:t>
      </w:r>
      <w:r w:rsidR="00220D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1F10" w:rsidRDefault="00161F10" w:rsidP="00377D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 grupach wiekowych 50-54 lata i 55-59 lat najwięcej bezrobotnych miało wykształcenie zasadnicze zawodowe – </w:t>
      </w:r>
      <w:r w:rsidR="008D7CDF">
        <w:rPr>
          <w:rFonts w:ascii="Times New Roman" w:hAnsi="Times New Roman" w:cs="Times New Roman"/>
          <w:sz w:val="24"/>
          <w:szCs w:val="24"/>
        </w:rPr>
        <w:t xml:space="preserve">odpowiednio </w:t>
      </w:r>
      <w:r>
        <w:rPr>
          <w:rFonts w:ascii="Times New Roman" w:hAnsi="Times New Roman" w:cs="Times New Roman"/>
          <w:sz w:val="24"/>
          <w:szCs w:val="24"/>
        </w:rPr>
        <w:t xml:space="preserve">42,4% i 36,9%, a najmniej wykształcenie wyższe – </w:t>
      </w:r>
      <w:r w:rsidR="008D7CDF">
        <w:rPr>
          <w:rFonts w:ascii="Times New Roman" w:hAnsi="Times New Roman" w:cs="Times New Roman"/>
          <w:sz w:val="24"/>
          <w:szCs w:val="24"/>
        </w:rPr>
        <w:t>odpowiednio 5,0% i 6,8%</w:t>
      </w:r>
      <w:r>
        <w:rPr>
          <w:rFonts w:ascii="Times New Roman" w:hAnsi="Times New Roman" w:cs="Times New Roman"/>
          <w:sz w:val="24"/>
          <w:szCs w:val="24"/>
        </w:rPr>
        <w:t>. W grupie wiekowej 60-64 lata najliczniejsza była także grupa osób z wykształceniem zasadniczym zawodowym – 34,9%, a najmniej liczna była grupa osób z wykształceniem średnim ogólnokształcącym – 7,6%. Nieco inaczej wyglądała sytuacja w grupie wiekowej 65-69 lat</w:t>
      </w:r>
      <w:r w:rsidR="0065037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najwięcej bezrobotnych miało wykształcenie policealne i średnie za</w:t>
      </w:r>
      <w:r w:rsidR="008D7CDF">
        <w:rPr>
          <w:rFonts w:ascii="Times New Roman" w:hAnsi="Times New Roman" w:cs="Times New Roman"/>
          <w:sz w:val="24"/>
          <w:szCs w:val="24"/>
        </w:rPr>
        <w:t>wodowe – 29,0%, a najmniej</w:t>
      </w:r>
      <w:r>
        <w:rPr>
          <w:rFonts w:ascii="Times New Roman" w:hAnsi="Times New Roman" w:cs="Times New Roman"/>
          <w:sz w:val="24"/>
          <w:szCs w:val="24"/>
        </w:rPr>
        <w:t xml:space="preserve"> wykształcenie średnie ogólnokształcące – 10,6%.</w:t>
      </w:r>
    </w:p>
    <w:p w:rsidR="00161F10" w:rsidRDefault="00161F10" w:rsidP="00377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Biorąc pod uwagę stopę bezrobocia według poziomu wykształcenia można zauważyć, że najtrudniejszą sytuację na rynku pracy miały osoby z wykształceniem gimnazjalnym </w:t>
      </w:r>
      <w:r w:rsidR="00022DC1">
        <w:rPr>
          <w:rFonts w:ascii="Times New Roman" w:hAnsi="Times New Roman" w:cs="Times New Roman"/>
          <w:sz w:val="24"/>
          <w:szCs w:val="24"/>
        </w:rPr>
        <w:t xml:space="preserve">i niższym </w:t>
      </w:r>
      <w:r>
        <w:rPr>
          <w:rFonts w:ascii="Times New Roman" w:hAnsi="Times New Roman" w:cs="Times New Roman"/>
          <w:sz w:val="24"/>
          <w:szCs w:val="24"/>
        </w:rPr>
        <w:t>niezależnie od płci i mi</w:t>
      </w:r>
      <w:r w:rsidR="00022DC1">
        <w:rPr>
          <w:rFonts w:ascii="Times New Roman" w:hAnsi="Times New Roman" w:cs="Times New Roman"/>
          <w:sz w:val="24"/>
          <w:szCs w:val="24"/>
        </w:rPr>
        <w:t>ejsca zamieszkania. Natomiast w najlepszej sytuacji na </w:t>
      </w:r>
      <w:r>
        <w:rPr>
          <w:rFonts w:ascii="Times New Roman" w:hAnsi="Times New Roman" w:cs="Times New Roman"/>
          <w:sz w:val="24"/>
          <w:szCs w:val="24"/>
        </w:rPr>
        <w:t>rynku pracy były osoby z wykształceniem wyższym.</w:t>
      </w:r>
    </w:p>
    <w:p w:rsidR="00377DB5" w:rsidRDefault="00377DB5" w:rsidP="00377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89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3"/>
        <w:gridCol w:w="1240"/>
        <w:gridCol w:w="1219"/>
        <w:gridCol w:w="1219"/>
        <w:gridCol w:w="1219"/>
        <w:gridCol w:w="1219"/>
        <w:gridCol w:w="1220"/>
      </w:tblGrid>
      <w:tr w:rsidR="00161F10" w:rsidRPr="00377DB5" w:rsidTr="0065037C">
        <w:trPr>
          <w:trHeight w:val="300"/>
        </w:trPr>
        <w:tc>
          <w:tcPr>
            <w:tcW w:w="90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1F10" w:rsidRPr="00377DB5" w:rsidRDefault="00990521" w:rsidP="00467886">
            <w:pPr>
              <w:spacing w:after="0"/>
              <w:ind w:left="1223" w:hanging="1223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77DB5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Tabela </w:t>
            </w:r>
            <w:r w:rsidR="00467886">
              <w:rPr>
                <w:rFonts w:ascii="Times New Roman" w:hAnsi="Times New Roman" w:cs="Times New Roman"/>
                <w:b/>
                <w:sz w:val="20"/>
              </w:rPr>
              <w:t>2.9</w:t>
            </w:r>
            <w:r w:rsidRPr="00377DB5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="00161F10" w:rsidRPr="00377DB5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Stopa bezrobocia osób w wieku 50-69 lat według poziomu wykształcenia, płci i miejsca zamieszkania</w:t>
            </w:r>
          </w:p>
        </w:tc>
      </w:tr>
      <w:tr w:rsidR="00161F10" w:rsidRPr="00FE6295" w:rsidTr="0065037C">
        <w:trPr>
          <w:trHeight w:val="333"/>
        </w:trPr>
        <w:tc>
          <w:tcPr>
            <w:tcW w:w="1753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Poziom wykształcenia</w:t>
            </w:r>
          </w:p>
        </w:tc>
      </w:tr>
      <w:tr w:rsidR="00161F10" w:rsidRPr="00FE6295" w:rsidTr="0065037C">
        <w:trPr>
          <w:trHeight w:val="693"/>
        </w:trPr>
        <w:tc>
          <w:tcPr>
            <w:tcW w:w="1753" w:type="dxa"/>
            <w:vMerge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B96E76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</w:t>
            </w:r>
            <w:r w:rsidR="00161F10"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yższe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76" w:rsidRDefault="00B96E76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="00161F10"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olicealne</w:t>
            </w:r>
          </w:p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 średnie zawodowe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B96E76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</w:t>
            </w:r>
            <w:r w:rsidR="00161F10"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rednie ogólno-kształcące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B96E76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</w:t>
            </w:r>
            <w:r w:rsidR="00161F10"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asadnicze zawodowe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96E76" w:rsidRDefault="00B96E76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</w:t>
            </w:r>
            <w:r w:rsid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imnazjalne</w:t>
            </w:r>
          </w:p>
          <w:p w:rsidR="00161F10" w:rsidRPr="00211B06" w:rsidRDefault="00211B06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 niższe</w:t>
            </w:r>
            <w:r w:rsidR="00161F10"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161F10" w:rsidRPr="00FE6295" w:rsidTr="0065037C">
        <w:trPr>
          <w:trHeight w:val="278"/>
        </w:trPr>
        <w:tc>
          <w:tcPr>
            <w:tcW w:w="17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3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1F10" w:rsidRPr="00211B06" w:rsidRDefault="00161F10" w:rsidP="00161F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161F10" w:rsidRPr="008859B7" w:rsidTr="0065037C">
        <w:trPr>
          <w:trHeight w:val="300"/>
        </w:trPr>
        <w:tc>
          <w:tcPr>
            <w:tcW w:w="175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22500E" w:rsidP="00161F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gółem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9,8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3,3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9,7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16,3</w:t>
            </w:r>
          </w:p>
        </w:tc>
      </w:tr>
      <w:tr w:rsidR="00161F10" w:rsidRPr="00FE6295" w:rsidTr="0065037C">
        <w:trPr>
          <w:trHeight w:val="300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Mężczyźni</w:t>
            </w:r>
          </w:p>
        </w:tc>
        <w:tc>
          <w:tcPr>
            <w:tcW w:w="124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10,2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9,2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11,8</w:t>
            </w:r>
          </w:p>
        </w:tc>
        <w:tc>
          <w:tcPr>
            <w:tcW w:w="122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17,1</w:t>
            </w:r>
          </w:p>
        </w:tc>
      </w:tr>
      <w:tr w:rsidR="00161F10" w:rsidRPr="00FE6295" w:rsidTr="0065037C">
        <w:trPr>
          <w:trHeight w:val="300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Kobiety</w:t>
            </w:r>
          </w:p>
        </w:tc>
        <w:tc>
          <w:tcPr>
            <w:tcW w:w="124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9,2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2,6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8,2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9,9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13,1</w:t>
            </w:r>
          </w:p>
        </w:tc>
        <w:tc>
          <w:tcPr>
            <w:tcW w:w="122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15,2</w:t>
            </w:r>
          </w:p>
        </w:tc>
      </w:tr>
      <w:tr w:rsidR="00161F10" w:rsidRPr="00FE6295" w:rsidTr="0065037C">
        <w:trPr>
          <w:trHeight w:val="300"/>
        </w:trPr>
        <w:tc>
          <w:tcPr>
            <w:tcW w:w="17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24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10,8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9,2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10,8</w:t>
            </w:r>
          </w:p>
        </w:tc>
        <w:tc>
          <w:tcPr>
            <w:tcW w:w="121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15,1</w:t>
            </w:r>
          </w:p>
        </w:tc>
        <w:tc>
          <w:tcPr>
            <w:tcW w:w="1220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25,2</w:t>
            </w:r>
          </w:p>
        </w:tc>
      </w:tr>
      <w:tr w:rsidR="00161F10" w:rsidRPr="00FE6295" w:rsidTr="0065037C">
        <w:trPr>
          <w:trHeight w:val="300"/>
        </w:trPr>
        <w:tc>
          <w:tcPr>
            <w:tcW w:w="17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7,9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2,1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5,5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6,3</w:t>
            </w: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8,8</w:t>
            </w:r>
          </w:p>
        </w:tc>
        <w:tc>
          <w:tcPr>
            <w:tcW w:w="122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F10" w:rsidRPr="00211B06" w:rsidRDefault="00161F10" w:rsidP="00161F1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11B0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11,3</w:t>
            </w:r>
          </w:p>
        </w:tc>
      </w:tr>
    </w:tbl>
    <w:p w:rsidR="00161F10" w:rsidRPr="00377DB5" w:rsidRDefault="00161F10" w:rsidP="00990521">
      <w:pPr>
        <w:spacing w:after="6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77DB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Łącznie z wykształceniem podstawowym nieukończonym i bez wykształcenia szkolnego</w:t>
      </w:r>
    </w:p>
    <w:p w:rsidR="00022DC1" w:rsidRDefault="00161F10" w:rsidP="0065037C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DB5">
        <w:rPr>
          <w:rFonts w:ascii="Times New Roman" w:hAnsi="Times New Roman" w:cs="Times New Roman"/>
          <w:sz w:val="24"/>
          <w:szCs w:val="24"/>
        </w:rPr>
        <w:t xml:space="preserve">Ważną informacją dotyczącą bezrobotnych jest okres poszukiwania </w:t>
      </w:r>
      <w:r w:rsidR="009603DC" w:rsidRPr="00377DB5">
        <w:rPr>
          <w:rFonts w:ascii="Times New Roman" w:hAnsi="Times New Roman" w:cs="Times New Roman"/>
          <w:sz w:val="24"/>
          <w:szCs w:val="24"/>
        </w:rPr>
        <w:t>pracy przez osoby bezrobotne. Osoby</w:t>
      </w:r>
      <w:r w:rsidRPr="00377DB5">
        <w:rPr>
          <w:rFonts w:ascii="Times New Roman" w:hAnsi="Times New Roman" w:cs="Times New Roman"/>
          <w:sz w:val="24"/>
          <w:szCs w:val="24"/>
        </w:rPr>
        <w:t xml:space="preserve">, które poszukują pracy dłużej niż 12 miesięcy </w:t>
      </w:r>
      <w:r w:rsidR="009603DC" w:rsidRPr="00377DB5">
        <w:rPr>
          <w:rFonts w:ascii="Times New Roman" w:hAnsi="Times New Roman" w:cs="Times New Roman"/>
          <w:sz w:val="24"/>
          <w:szCs w:val="24"/>
        </w:rPr>
        <w:t>to osoby</w:t>
      </w:r>
      <w:r w:rsidRPr="00377DB5">
        <w:rPr>
          <w:rFonts w:ascii="Times New Roman" w:hAnsi="Times New Roman" w:cs="Times New Roman"/>
          <w:sz w:val="24"/>
          <w:szCs w:val="24"/>
        </w:rPr>
        <w:t xml:space="preserve"> długotrwale bezrobotne. Wśród </w:t>
      </w:r>
      <w:r w:rsidR="00A70984" w:rsidRPr="00377DB5">
        <w:rPr>
          <w:rFonts w:ascii="Times New Roman" w:hAnsi="Times New Roman" w:cs="Times New Roman"/>
          <w:sz w:val="24"/>
          <w:szCs w:val="24"/>
        </w:rPr>
        <w:t>populacji</w:t>
      </w:r>
      <w:r w:rsidRPr="00377DB5">
        <w:rPr>
          <w:rFonts w:ascii="Times New Roman" w:hAnsi="Times New Roman" w:cs="Times New Roman"/>
          <w:sz w:val="24"/>
          <w:szCs w:val="24"/>
        </w:rPr>
        <w:t xml:space="preserve"> w wieku 50-69 lat najwięcej było osób długotrwale bezrobotnych – 150,7 tys., tj. 36,6%. Osób</w:t>
      </w:r>
      <w:r w:rsidR="00022DC1" w:rsidRPr="00377DB5">
        <w:rPr>
          <w:rFonts w:ascii="Times New Roman" w:hAnsi="Times New Roman" w:cs="Times New Roman"/>
          <w:sz w:val="24"/>
          <w:szCs w:val="24"/>
        </w:rPr>
        <w:t xml:space="preserve"> poszukujących pracy od 7 do 12 </w:t>
      </w:r>
      <w:r w:rsidRPr="00377DB5">
        <w:rPr>
          <w:rFonts w:ascii="Times New Roman" w:hAnsi="Times New Roman" w:cs="Times New Roman"/>
          <w:sz w:val="24"/>
          <w:szCs w:val="24"/>
        </w:rPr>
        <w:t>miesięcy było 114,1 tys., tj. 27,7%, poszukujących pracy od 4 do 6 miesię</w:t>
      </w:r>
      <w:r w:rsidR="00140400" w:rsidRPr="00377DB5">
        <w:rPr>
          <w:rFonts w:ascii="Times New Roman" w:hAnsi="Times New Roman" w:cs="Times New Roman"/>
          <w:sz w:val="24"/>
          <w:szCs w:val="24"/>
        </w:rPr>
        <w:t>cy było 79,1 tys., tj. 19,2%, a </w:t>
      </w:r>
      <w:r w:rsidRPr="00377DB5">
        <w:rPr>
          <w:rFonts w:ascii="Times New Roman" w:hAnsi="Times New Roman" w:cs="Times New Roman"/>
          <w:sz w:val="24"/>
          <w:szCs w:val="24"/>
        </w:rPr>
        <w:t xml:space="preserve">poszukujących pracy od 2 do 3 miesięcy było </w:t>
      </w:r>
      <w:r w:rsidR="00220D39" w:rsidRPr="00377DB5">
        <w:rPr>
          <w:rFonts w:ascii="Times New Roman" w:hAnsi="Times New Roman" w:cs="Times New Roman"/>
          <w:sz w:val="24"/>
          <w:szCs w:val="24"/>
        </w:rPr>
        <w:t>51,6 tys., tj. 12,5%. Najmniej liczną</w:t>
      </w:r>
      <w:r w:rsidRPr="00377DB5">
        <w:rPr>
          <w:rFonts w:ascii="Times New Roman" w:hAnsi="Times New Roman" w:cs="Times New Roman"/>
          <w:sz w:val="24"/>
          <w:szCs w:val="24"/>
        </w:rPr>
        <w:t xml:space="preserve"> grupę stanowiły osoby poszukujące pracy do 1 mie</w:t>
      </w:r>
      <w:r w:rsidR="00022DC1" w:rsidRPr="00377DB5">
        <w:rPr>
          <w:rFonts w:ascii="Times New Roman" w:hAnsi="Times New Roman" w:cs="Times New Roman"/>
          <w:sz w:val="24"/>
          <w:szCs w:val="24"/>
        </w:rPr>
        <w:t>siąca włącznie – 15,9 tys., tj. </w:t>
      </w:r>
      <w:r w:rsidRPr="00377DB5">
        <w:rPr>
          <w:rFonts w:ascii="Times New Roman" w:hAnsi="Times New Roman" w:cs="Times New Roman"/>
          <w:sz w:val="24"/>
          <w:szCs w:val="24"/>
        </w:rPr>
        <w:t>3,</w:t>
      </w:r>
      <w:r w:rsidR="00140400" w:rsidRPr="00377DB5">
        <w:rPr>
          <w:rFonts w:ascii="Times New Roman" w:hAnsi="Times New Roman" w:cs="Times New Roman"/>
          <w:sz w:val="24"/>
          <w:szCs w:val="24"/>
        </w:rPr>
        <w:t>9%. W </w:t>
      </w:r>
      <w:r w:rsidRPr="00377DB5">
        <w:rPr>
          <w:rFonts w:ascii="Times New Roman" w:hAnsi="Times New Roman" w:cs="Times New Roman"/>
          <w:sz w:val="24"/>
          <w:szCs w:val="24"/>
        </w:rPr>
        <w:t>analizowanej grupie wiekowej sytuacja kobiet była nieco gorsza niż mężczyzn, odsetek długotrwale bezrobotnych dla kobiet wynosi</w:t>
      </w:r>
      <w:r w:rsidR="00022DC1" w:rsidRPr="00377DB5">
        <w:rPr>
          <w:rFonts w:ascii="Times New Roman" w:hAnsi="Times New Roman" w:cs="Times New Roman"/>
          <w:sz w:val="24"/>
          <w:szCs w:val="24"/>
        </w:rPr>
        <w:t>ł 38,1%, a dla mężczyzn 35,5%. S</w:t>
      </w:r>
      <w:r w:rsidRPr="00377DB5">
        <w:rPr>
          <w:rFonts w:ascii="Times New Roman" w:hAnsi="Times New Roman" w:cs="Times New Roman"/>
          <w:sz w:val="24"/>
          <w:szCs w:val="24"/>
        </w:rPr>
        <w:t>ytuacja mieszkańców miast była gorsza niż mieszkańców wsi – dla mieszkańców miast odsetek długotrwale bezrobotnych wyniósł 38,1%, dla mieszkańców wsi – 33,0%.</w:t>
      </w:r>
    </w:p>
    <w:p w:rsidR="00022DC1" w:rsidRPr="00377DB5" w:rsidRDefault="00990521" w:rsidP="00990521">
      <w:pPr>
        <w:pStyle w:val="Legenda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377DB5">
        <w:rPr>
          <w:rFonts w:ascii="Times New Roman" w:hAnsi="Times New Roman" w:cs="Times New Roman"/>
          <w:color w:val="auto"/>
          <w:sz w:val="20"/>
          <w:szCs w:val="22"/>
        </w:rPr>
        <w:t xml:space="preserve">Wykres 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>2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.10</w:t>
      </w:r>
      <w:r w:rsidRPr="00377DB5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022DC1" w:rsidRPr="00377DB5">
        <w:rPr>
          <w:rFonts w:ascii="Times New Roman" w:hAnsi="Times New Roman" w:cs="Times New Roman"/>
          <w:bCs w:val="0"/>
          <w:color w:val="auto"/>
          <w:sz w:val="20"/>
          <w:szCs w:val="22"/>
        </w:rPr>
        <w:t>Struktura bezrobotnych w wieku 50-69 lat według okresu poszukiwania pracy i województw</w:t>
      </w:r>
    </w:p>
    <w:p w:rsidR="00161F10" w:rsidRDefault="00A70984" w:rsidP="00DF57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98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100" cy="2971800"/>
            <wp:effectExtent l="19050" t="0" r="1905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F579B" w:rsidRPr="00377DB5" w:rsidRDefault="00DF579B" w:rsidP="00DF579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77DB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* </w:t>
      </w:r>
      <w:r w:rsidRPr="00377DB5">
        <w:rPr>
          <w:rFonts w:ascii="Times New Roman" w:hAnsi="Times New Roman" w:cs="Times New Roman"/>
          <w:sz w:val="20"/>
          <w:szCs w:val="20"/>
        </w:rPr>
        <w:t>na wykresie nie uwzględniono nieustalonego okresu poszukiwania pracy</w:t>
      </w:r>
    </w:p>
    <w:p w:rsidR="0074086D" w:rsidRDefault="0074086D" w:rsidP="00437E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E87">
        <w:rPr>
          <w:rFonts w:ascii="Times New Roman" w:hAnsi="Times New Roman" w:cs="Times New Roman"/>
          <w:sz w:val="24"/>
          <w:szCs w:val="24"/>
        </w:rPr>
        <w:lastRenderedPageBreak/>
        <w:t>Najw</w:t>
      </w:r>
      <w:r w:rsidR="008D7CDF" w:rsidRPr="00437E87">
        <w:rPr>
          <w:rFonts w:ascii="Times New Roman" w:hAnsi="Times New Roman" w:cs="Times New Roman"/>
          <w:sz w:val="24"/>
          <w:szCs w:val="24"/>
        </w:rPr>
        <w:t>ięcej długotrwale bezrobotnych (</w:t>
      </w:r>
      <w:r w:rsidRPr="00437E87">
        <w:rPr>
          <w:rFonts w:ascii="Times New Roman" w:hAnsi="Times New Roman" w:cs="Times New Roman"/>
          <w:sz w:val="24"/>
          <w:szCs w:val="24"/>
        </w:rPr>
        <w:t>38,7%</w:t>
      </w:r>
      <w:r w:rsidR="008D7CDF" w:rsidRPr="00437E87">
        <w:rPr>
          <w:rFonts w:ascii="Times New Roman" w:hAnsi="Times New Roman" w:cs="Times New Roman"/>
          <w:sz w:val="24"/>
          <w:szCs w:val="24"/>
        </w:rPr>
        <w:t>)</w:t>
      </w:r>
      <w:r w:rsidRPr="00437E87">
        <w:rPr>
          <w:rFonts w:ascii="Times New Roman" w:hAnsi="Times New Roman" w:cs="Times New Roman"/>
          <w:sz w:val="24"/>
          <w:szCs w:val="24"/>
        </w:rPr>
        <w:t xml:space="preserve"> było w grupie osób z wykształceniem gimnazjalnym i niższym. Z kolei w najliczniejszej pod względem wykształcenia grupie osób</w:t>
      </w:r>
      <w:r w:rsidR="001A2DFB" w:rsidRPr="00437E87">
        <w:rPr>
          <w:rFonts w:ascii="Times New Roman" w:hAnsi="Times New Roman" w:cs="Times New Roman"/>
          <w:sz w:val="24"/>
          <w:szCs w:val="24"/>
        </w:rPr>
        <w:t xml:space="preserve"> z </w:t>
      </w:r>
      <w:r w:rsidRPr="00437E87">
        <w:rPr>
          <w:rFonts w:ascii="Times New Roman" w:hAnsi="Times New Roman" w:cs="Times New Roman"/>
          <w:sz w:val="24"/>
          <w:szCs w:val="24"/>
        </w:rPr>
        <w:t>wykształceniem zasadniczym zawodowym długotrwale bezrobotni stanowili 35,4%.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E87" w:rsidRPr="00437E87" w:rsidRDefault="00437E87" w:rsidP="00467886">
      <w:pPr>
        <w:spacing w:after="120"/>
        <w:ind w:left="1418" w:hanging="1418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437E87">
        <w:rPr>
          <w:rFonts w:ascii="Times New Roman" w:hAnsi="Times New Roman" w:cs="Times New Roman"/>
          <w:b/>
          <w:sz w:val="20"/>
        </w:rPr>
        <w:t xml:space="preserve">Tabela </w:t>
      </w:r>
      <w:r w:rsidR="00467886">
        <w:rPr>
          <w:rFonts w:ascii="Times New Roman" w:hAnsi="Times New Roman" w:cs="Times New Roman"/>
          <w:b/>
          <w:sz w:val="20"/>
        </w:rPr>
        <w:t>2.10</w:t>
      </w:r>
      <w:r w:rsidRPr="00437E87">
        <w:rPr>
          <w:rFonts w:ascii="Times New Roman" w:hAnsi="Times New Roman" w:cs="Times New Roman"/>
          <w:b/>
          <w:sz w:val="20"/>
        </w:rPr>
        <w:t xml:space="preserve">. </w:t>
      </w:r>
      <w:r w:rsidRPr="00437E87">
        <w:rPr>
          <w:rFonts w:ascii="Times New Roman" w:eastAsia="Times New Roman" w:hAnsi="Times New Roman" w:cs="Times New Roman"/>
          <w:b/>
          <w:sz w:val="20"/>
          <w:lang w:eastAsia="pl-PL"/>
        </w:rPr>
        <w:t>Bezrobotni w wieku 50-69 lat według okresu poszukiwania pracy oraz poziomu wykształcenia*</w:t>
      </w:r>
    </w:p>
    <w:tbl>
      <w:tblPr>
        <w:tblW w:w="9380" w:type="dxa"/>
        <w:tblInd w:w="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380"/>
      </w:tblGrid>
      <w:tr w:rsidR="00F61E16" w:rsidRPr="000A0662" w:rsidTr="0065037C">
        <w:trPr>
          <w:trHeight w:val="256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01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94"/>
              <w:gridCol w:w="2191"/>
              <w:gridCol w:w="909"/>
              <w:gridCol w:w="1013"/>
              <w:gridCol w:w="1007"/>
              <w:gridCol w:w="903"/>
              <w:gridCol w:w="903"/>
              <w:gridCol w:w="904"/>
              <w:gridCol w:w="992"/>
            </w:tblGrid>
            <w:tr w:rsidR="00422162" w:rsidRPr="00BB7E07" w:rsidTr="0065037C">
              <w:trPr>
                <w:trHeight w:val="531"/>
              </w:trPr>
              <w:tc>
                <w:tcPr>
                  <w:tcW w:w="2385" w:type="dxa"/>
                  <w:gridSpan w:val="2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W</w:t>
                  </w:r>
                  <w:r w:rsidR="0022500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yszczególnienie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Ogółem</w:t>
                  </w:r>
                </w:p>
              </w:tc>
              <w:tc>
                <w:tcPr>
                  <w:tcW w:w="572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Według okresu poszukiwania pracy</w:t>
                  </w:r>
                </w:p>
              </w:tc>
            </w:tr>
            <w:tr w:rsidR="00422162" w:rsidRPr="00BB7E07" w:rsidTr="0065037C">
              <w:trPr>
                <w:trHeight w:val="1290"/>
              </w:trPr>
              <w:tc>
                <w:tcPr>
                  <w:tcW w:w="2385" w:type="dxa"/>
                  <w:gridSpan w:val="2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9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do 1 miesiąca włącznie</w:t>
                  </w: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2 - 3 miesiące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4 - 6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7 - 12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13 - 24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powyżej 24 miesięcy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2385" w:type="dxa"/>
                  <w:gridSpan w:val="2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63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w %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23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Ogółem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100,0</w:t>
                  </w:r>
                </w:p>
              </w:tc>
              <w:tc>
                <w:tcPr>
                  <w:tcW w:w="10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3,9</w:t>
                  </w: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12,5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19,2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27,7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16,6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20,1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1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Wyższe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5,7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14,2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16,7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25,6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17,7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20,0</w:t>
                  </w:r>
                </w:p>
              </w:tc>
            </w:tr>
            <w:tr w:rsidR="00422162" w:rsidRPr="00BB7E07" w:rsidTr="0065037C">
              <w:trPr>
                <w:trHeight w:val="516"/>
              </w:trPr>
              <w:tc>
                <w:tcPr>
                  <w:tcW w:w="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1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Policealne i średnie zawodowe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4,6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12,9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18,9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27,1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16,6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19,8</w:t>
                  </w:r>
                </w:p>
              </w:tc>
            </w:tr>
            <w:tr w:rsidR="00422162" w:rsidRPr="00BB7E07" w:rsidTr="0065037C">
              <w:trPr>
                <w:trHeight w:val="516"/>
              </w:trPr>
              <w:tc>
                <w:tcPr>
                  <w:tcW w:w="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1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Średnie ogólnokształcące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3,8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12,1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19,3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27,9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17,5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19,4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1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Zasadnicze zawodowe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3,6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12,8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19,7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28,4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16,4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19,0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1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Gimnazjalne i niższe**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100,0</w:t>
                  </w:r>
                </w:p>
              </w:tc>
              <w:tc>
                <w:tcPr>
                  <w:tcW w:w="10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2,9</w:t>
                  </w:r>
                </w:p>
              </w:tc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11,4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19,3</w:t>
                  </w:r>
                </w:p>
              </w:tc>
              <w:tc>
                <w:tcPr>
                  <w:tcW w:w="9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27,7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16,2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22162" w:rsidRDefault="00422162" w:rsidP="00391CDD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2216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22,5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9016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22162" w:rsidRPr="00437E87" w:rsidRDefault="00422162" w:rsidP="0065037C">
                  <w:pPr>
                    <w:spacing w:after="0"/>
                    <w:ind w:left="102" w:hanging="159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37E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* </w:t>
                  </w:r>
                  <w:r w:rsidRPr="0065037C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0"/>
                      <w:szCs w:val="20"/>
                      <w:lang w:eastAsia="pl-PL"/>
                    </w:rPr>
                    <w:t>w tabeli nie uwzględniono nieustalonego poziomu wykształcenia oraz nieustalonego okresu poszukiwania pracy</w:t>
                  </w:r>
                </w:p>
              </w:tc>
            </w:tr>
            <w:tr w:rsidR="00422162" w:rsidRPr="00BB7E07" w:rsidTr="0065037C">
              <w:trPr>
                <w:trHeight w:val="258"/>
              </w:trPr>
              <w:tc>
                <w:tcPr>
                  <w:tcW w:w="9016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22162" w:rsidRPr="00437E87" w:rsidRDefault="00422162" w:rsidP="0065037C">
                  <w:pPr>
                    <w:spacing w:after="0"/>
                    <w:ind w:left="-57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37E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** łącznie z wykształceniem podstawowym nieukończonym i bez wykształcenia szkolnego</w:t>
                  </w:r>
                </w:p>
              </w:tc>
            </w:tr>
          </w:tbl>
          <w:p w:rsidR="00F61E16" w:rsidRPr="000A0662" w:rsidRDefault="00F61E16" w:rsidP="00391C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90521" w:rsidRPr="00990521" w:rsidRDefault="00990521" w:rsidP="00990521">
      <w:pPr>
        <w:spacing w:before="120" w:line="36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:rsidR="00161F10" w:rsidRDefault="00161F10" w:rsidP="00437E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Wśród osób bezrobotnych w wieku</w:t>
      </w:r>
      <w:r w:rsidR="00010CC2">
        <w:rPr>
          <w:rFonts w:ascii="Times New Roman" w:hAnsi="Times New Roman" w:cs="Times New Roman"/>
          <w:sz w:val="24"/>
          <w:szCs w:val="24"/>
        </w:rPr>
        <w:t xml:space="preserve"> 50-69 lat było 359,6 tys., tj. </w:t>
      </w:r>
      <w:r>
        <w:rPr>
          <w:rFonts w:ascii="Times New Roman" w:hAnsi="Times New Roman" w:cs="Times New Roman"/>
          <w:sz w:val="24"/>
          <w:szCs w:val="24"/>
        </w:rPr>
        <w:t xml:space="preserve">87,3% osób </w:t>
      </w:r>
      <w:r w:rsidR="00220D39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 xml:space="preserve">przednio pracujących, z tego 237,3 tys. osób pracowało w okresie 8 lat poprzedzających badanie. Wśród mężczyzn uprzednio pracowało 87,7%, a wśród kobiet 86,8%. </w:t>
      </w:r>
      <w:r w:rsidR="00010CC2">
        <w:rPr>
          <w:rFonts w:ascii="Times New Roman" w:hAnsi="Times New Roman" w:cs="Times New Roman"/>
          <w:sz w:val="24"/>
          <w:szCs w:val="24"/>
        </w:rPr>
        <w:t>W miastach i na </w:t>
      </w:r>
      <w:r>
        <w:rPr>
          <w:rFonts w:ascii="Times New Roman" w:hAnsi="Times New Roman" w:cs="Times New Roman"/>
          <w:sz w:val="24"/>
          <w:szCs w:val="24"/>
        </w:rPr>
        <w:t>wsi sytuacja kształtowała się podobnie, uprzednio pracujących było 87,3% i 87,5%.</w:t>
      </w:r>
    </w:p>
    <w:p w:rsidR="00161F10" w:rsidRDefault="00161F10" w:rsidP="00437E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Największy udział osób uprzednio pracujących wystąpił w grupie osób z wykształceniem zasadniczym zawodowym – 88,7%, jednak udział osób, które pracowały w ciągu 8 lat poprzedzających </w:t>
      </w:r>
      <w:r w:rsidRPr="00422162">
        <w:rPr>
          <w:rFonts w:ascii="Times New Roman" w:hAnsi="Times New Roman" w:cs="Times New Roman"/>
          <w:sz w:val="24"/>
          <w:szCs w:val="24"/>
        </w:rPr>
        <w:t xml:space="preserve">badanie </w:t>
      </w:r>
      <w:r w:rsidR="001D05EA" w:rsidRPr="00422162">
        <w:rPr>
          <w:rFonts w:ascii="Times New Roman" w:hAnsi="Times New Roman" w:cs="Times New Roman"/>
          <w:sz w:val="24"/>
          <w:szCs w:val="24"/>
        </w:rPr>
        <w:t xml:space="preserve">wśród wszystkich osób bezrobotnych w wieku 50-69 lat </w:t>
      </w:r>
      <w:r w:rsidRPr="00422162">
        <w:rPr>
          <w:rFonts w:ascii="Times New Roman" w:hAnsi="Times New Roman" w:cs="Times New Roman"/>
          <w:sz w:val="24"/>
          <w:szCs w:val="24"/>
        </w:rPr>
        <w:t>był największy w grupie osób z wy</w:t>
      </w:r>
      <w:r>
        <w:rPr>
          <w:rFonts w:ascii="Times New Roman" w:hAnsi="Times New Roman" w:cs="Times New Roman"/>
          <w:sz w:val="24"/>
          <w:szCs w:val="24"/>
        </w:rPr>
        <w:t xml:space="preserve">kształceniem wyższym – 67,8%. Największy udział osób dotychczas niepracujących wystąpił w grupie osób z wykształceniem wyższym – 15,1%. </w:t>
      </w:r>
    </w:p>
    <w:p w:rsidR="00161F10" w:rsidRDefault="00161F10" w:rsidP="00437E8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Rozpatrując podział </w:t>
      </w:r>
      <w:r w:rsidR="005C0F09">
        <w:rPr>
          <w:rFonts w:ascii="Times New Roman" w:hAnsi="Times New Roman" w:cs="Times New Roman"/>
          <w:sz w:val="24"/>
          <w:szCs w:val="24"/>
        </w:rPr>
        <w:t>bezrobotnych w omawianej grupie wiekowej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7CDF">
        <w:rPr>
          <w:rFonts w:ascii="Times New Roman" w:hAnsi="Times New Roman" w:cs="Times New Roman"/>
          <w:sz w:val="24"/>
          <w:szCs w:val="24"/>
        </w:rPr>
        <w:t xml:space="preserve">na województwa </w:t>
      </w:r>
      <w:r>
        <w:rPr>
          <w:rFonts w:ascii="Times New Roman" w:hAnsi="Times New Roman" w:cs="Times New Roman"/>
          <w:sz w:val="24"/>
          <w:szCs w:val="24"/>
        </w:rPr>
        <w:t xml:space="preserve">największy udział uprzednio pracujących wystąpił w województwie lubelskim – 93,4%, a największy udział osób dotychczas niepracujących </w:t>
      </w:r>
      <w:r w:rsidR="005C0F09">
        <w:rPr>
          <w:rFonts w:ascii="Times New Roman" w:hAnsi="Times New Roman" w:cs="Times New Roman"/>
          <w:sz w:val="24"/>
          <w:szCs w:val="24"/>
        </w:rPr>
        <w:t xml:space="preserve">wystąpił </w:t>
      </w:r>
      <w:r>
        <w:rPr>
          <w:rFonts w:ascii="Times New Roman" w:hAnsi="Times New Roman" w:cs="Times New Roman"/>
          <w:sz w:val="24"/>
          <w:szCs w:val="24"/>
        </w:rPr>
        <w:t xml:space="preserve">w województwie </w:t>
      </w:r>
      <w:r w:rsidR="005C0F09">
        <w:rPr>
          <w:rFonts w:ascii="Times New Roman" w:hAnsi="Times New Roman" w:cs="Times New Roman"/>
          <w:sz w:val="24"/>
          <w:szCs w:val="24"/>
        </w:rPr>
        <w:t>opolskim</w:t>
      </w:r>
      <w:r>
        <w:rPr>
          <w:rFonts w:ascii="Times New Roman" w:hAnsi="Times New Roman" w:cs="Times New Roman"/>
          <w:sz w:val="24"/>
          <w:szCs w:val="24"/>
        </w:rPr>
        <w:t xml:space="preserve"> – 18,2%.</w:t>
      </w:r>
    </w:p>
    <w:p w:rsidR="00161F10" w:rsidRDefault="00161F10" w:rsidP="00437E8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AF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Największy udział w zbiorowości osób bezrobotnych uprzednio pracujących w wieku 50-69 lat miała grupa osób </w:t>
      </w:r>
      <w:r w:rsidR="00140400">
        <w:rPr>
          <w:rFonts w:ascii="Times New Roman" w:hAnsi="Times New Roman" w:cs="Times New Roman"/>
          <w:sz w:val="24"/>
          <w:szCs w:val="24"/>
        </w:rPr>
        <w:t>pozostających bez</w:t>
      </w:r>
      <w:r w:rsidR="005C0F09">
        <w:rPr>
          <w:rFonts w:ascii="Times New Roman" w:hAnsi="Times New Roman" w:cs="Times New Roman"/>
          <w:sz w:val="24"/>
          <w:szCs w:val="24"/>
        </w:rPr>
        <w:t xml:space="preserve"> pracy 9 lat i więcej – 122,3 </w:t>
      </w:r>
      <w:r>
        <w:rPr>
          <w:rFonts w:ascii="Times New Roman" w:hAnsi="Times New Roman" w:cs="Times New Roman"/>
          <w:sz w:val="24"/>
          <w:szCs w:val="24"/>
        </w:rPr>
        <w:t>tys., tj. 34,0%. Kolejną co do wielkości była grupa os</w:t>
      </w:r>
      <w:r w:rsidR="005C0F09">
        <w:rPr>
          <w:rFonts w:ascii="Times New Roman" w:hAnsi="Times New Roman" w:cs="Times New Roman"/>
          <w:sz w:val="24"/>
          <w:szCs w:val="24"/>
        </w:rPr>
        <w:t>ób pozostających bez pracy do 1 </w:t>
      </w:r>
      <w:r w:rsidR="00140400">
        <w:rPr>
          <w:rFonts w:ascii="Times New Roman" w:hAnsi="Times New Roman" w:cs="Times New Roman"/>
          <w:sz w:val="24"/>
          <w:szCs w:val="24"/>
        </w:rPr>
        <w:t>roku włącznie – 119,9 </w:t>
      </w:r>
      <w:r>
        <w:rPr>
          <w:rFonts w:ascii="Times New Roman" w:hAnsi="Times New Roman" w:cs="Times New Roman"/>
          <w:sz w:val="24"/>
          <w:szCs w:val="24"/>
        </w:rPr>
        <w:t xml:space="preserve">tys., tj. 33,3%. Najmniej było osób </w:t>
      </w:r>
      <w:r w:rsidR="00140400">
        <w:rPr>
          <w:rFonts w:ascii="Times New Roman" w:hAnsi="Times New Roman" w:cs="Times New Roman"/>
          <w:sz w:val="24"/>
          <w:szCs w:val="24"/>
        </w:rPr>
        <w:t>pozostających bez</w:t>
      </w:r>
      <w:r w:rsidR="005C0F09">
        <w:rPr>
          <w:rFonts w:ascii="Times New Roman" w:hAnsi="Times New Roman" w:cs="Times New Roman"/>
          <w:sz w:val="24"/>
          <w:szCs w:val="24"/>
        </w:rPr>
        <w:t xml:space="preserve"> pracy od 6 do 8 </w:t>
      </w:r>
      <w:r w:rsidR="00140400">
        <w:rPr>
          <w:rFonts w:ascii="Times New Roman" w:hAnsi="Times New Roman" w:cs="Times New Roman"/>
          <w:sz w:val="24"/>
          <w:szCs w:val="24"/>
        </w:rPr>
        <w:t>lat – 34,7 tys., tj. </w:t>
      </w:r>
      <w:r>
        <w:rPr>
          <w:rFonts w:ascii="Times New Roman" w:hAnsi="Times New Roman" w:cs="Times New Roman"/>
          <w:sz w:val="24"/>
          <w:szCs w:val="24"/>
        </w:rPr>
        <w:t>6,9%.</w:t>
      </w:r>
    </w:p>
    <w:p w:rsidR="005C0F09" w:rsidRPr="00437E87" w:rsidRDefault="00422162" w:rsidP="00F478EC">
      <w:pPr>
        <w:pStyle w:val="Legenda"/>
        <w:spacing w:after="120"/>
        <w:ind w:left="1134" w:hanging="1134"/>
        <w:rPr>
          <w:rFonts w:ascii="Times New Roman" w:hAnsi="Times New Roman" w:cs="Times New Roman"/>
          <w:bCs w:val="0"/>
          <w:color w:val="auto"/>
          <w:sz w:val="20"/>
          <w:szCs w:val="22"/>
        </w:rPr>
      </w:pPr>
      <w:r w:rsidRPr="00437E87">
        <w:rPr>
          <w:rFonts w:ascii="Times New Roman" w:hAnsi="Times New Roman" w:cs="Times New Roman"/>
          <w:color w:val="auto"/>
          <w:sz w:val="20"/>
          <w:szCs w:val="22"/>
        </w:rPr>
        <w:lastRenderedPageBreak/>
        <w:t xml:space="preserve">Wykres </w:t>
      </w:r>
      <w:r w:rsidR="00130764">
        <w:rPr>
          <w:rFonts w:ascii="Times New Roman" w:hAnsi="Times New Roman" w:cs="Times New Roman"/>
          <w:color w:val="auto"/>
          <w:sz w:val="20"/>
          <w:szCs w:val="22"/>
        </w:rPr>
        <w:t>2</w:t>
      </w:r>
      <w:r w:rsidR="00F478EC">
        <w:rPr>
          <w:rFonts w:ascii="Times New Roman" w:hAnsi="Times New Roman" w:cs="Times New Roman"/>
          <w:color w:val="auto"/>
          <w:sz w:val="20"/>
          <w:szCs w:val="22"/>
        </w:rPr>
        <w:t>.11</w:t>
      </w:r>
      <w:r w:rsidRPr="00437E87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5C0F09" w:rsidRPr="00437E87">
        <w:rPr>
          <w:rFonts w:ascii="Times New Roman" w:hAnsi="Times New Roman" w:cs="Times New Roman"/>
          <w:bCs w:val="0"/>
          <w:color w:val="auto"/>
          <w:sz w:val="20"/>
          <w:szCs w:val="22"/>
        </w:rPr>
        <w:t>Bezrobotni uprzednio pracujący w wieku 50-69 lat według okresu pozostawania bez pracy, płci i miejsca zamieszkania</w:t>
      </w:r>
      <w:r w:rsidR="005C0F09" w:rsidRPr="00437E87">
        <w:rPr>
          <w:rFonts w:ascii="Times New Roman" w:hAnsi="Times New Roman" w:cs="Times New Roman"/>
          <w:bCs w:val="0"/>
          <w:color w:val="auto"/>
          <w:sz w:val="20"/>
          <w:szCs w:val="22"/>
          <w:vertAlign w:val="superscript"/>
        </w:rPr>
        <w:t>*</w:t>
      </w:r>
      <w:r w:rsidR="005C0F09" w:rsidRPr="00437E87">
        <w:rPr>
          <w:rFonts w:ascii="Times New Roman" w:hAnsi="Times New Roman" w:cs="Times New Roman"/>
          <w:bCs w:val="0"/>
          <w:color w:val="auto"/>
          <w:sz w:val="20"/>
          <w:szCs w:val="22"/>
        </w:rPr>
        <w:t xml:space="preserve"> </w:t>
      </w:r>
    </w:p>
    <w:p w:rsidR="00161F10" w:rsidRDefault="00CD0EA7" w:rsidP="00DF57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EA7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924175" cy="3514725"/>
            <wp:effectExtent l="0" t="0" r="0" b="0"/>
            <wp:docPr id="16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CD0EA7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00350" cy="3533775"/>
            <wp:effectExtent l="0" t="0" r="0" b="0"/>
            <wp:docPr id="1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F579B" w:rsidRPr="00437E87" w:rsidRDefault="00DF579B" w:rsidP="00422162">
      <w:pPr>
        <w:spacing w:after="120" w:line="360" w:lineRule="auto"/>
        <w:rPr>
          <w:rFonts w:ascii="Times New Roman" w:hAnsi="Times New Roman" w:cs="Times New Roman"/>
          <w:sz w:val="20"/>
          <w:szCs w:val="20"/>
        </w:rPr>
      </w:pPr>
      <w:r w:rsidRPr="00437E8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* </w:t>
      </w:r>
      <w:r w:rsidRPr="00437E87">
        <w:rPr>
          <w:rFonts w:ascii="Times New Roman" w:hAnsi="Times New Roman" w:cs="Times New Roman"/>
          <w:sz w:val="20"/>
          <w:szCs w:val="20"/>
        </w:rPr>
        <w:t>na wykresie nie uwzględniono nieustalonego okresu pozostawania bez pracy</w:t>
      </w:r>
    </w:p>
    <w:p w:rsidR="00161F10" w:rsidRDefault="005C0F09" w:rsidP="00DF579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grupie</w:t>
      </w:r>
      <w:r w:rsidR="00161F10">
        <w:rPr>
          <w:rFonts w:ascii="Times New Roman" w:hAnsi="Times New Roman" w:cs="Times New Roman"/>
          <w:sz w:val="24"/>
          <w:szCs w:val="24"/>
        </w:rPr>
        <w:t xml:space="preserve"> wiekowej 50-54 lata udział osób </w:t>
      </w:r>
      <w:r w:rsidR="00140400">
        <w:rPr>
          <w:rFonts w:ascii="Times New Roman" w:hAnsi="Times New Roman" w:cs="Times New Roman"/>
          <w:sz w:val="24"/>
          <w:szCs w:val="24"/>
        </w:rPr>
        <w:t xml:space="preserve">pozostających bez </w:t>
      </w:r>
      <w:r w:rsidR="00161F10">
        <w:rPr>
          <w:rFonts w:ascii="Times New Roman" w:hAnsi="Times New Roman" w:cs="Times New Roman"/>
          <w:sz w:val="24"/>
          <w:szCs w:val="24"/>
        </w:rPr>
        <w:t xml:space="preserve">pracy 9 lat i więcej wynosił 32,2% i rósł </w:t>
      </w:r>
      <w:r>
        <w:rPr>
          <w:rFonts w:ascii="Times New Roman" w:hAnsi="Times New Roman" w:cs="Times New Roman"/>
          <w:sz w:val="24"/>
          <w:szCs w:val="24"/>
        </w:rPr>
        <w:t>w kolejnych grupach wiekowych</w:t>
      </w:r>
      <w:r w:rsidR="00161F10">
        <w:rPr>
          <w:rFonts w:ascii="Times New Roman" w:hAnsi="Times New Roman" w:cs="Times New Roman"/>
          <w:sz w:val="24"/>
          <w:szCs w:val="24"/>
        </w:rPr>
        <w:t xml:space="preserve">. Dla grupy wiekowej 55-59 lat wyniósł 35,3%, dla grupy 60-64 lata – 38,8%, a dla grupy 65-69 lat było to 42,4%. Z kolei udział osób </w:t>
      </w:r>
      <w:r w:rsidR="00140400">
        <w:rPr>
          <w:rFonts w:ascii="Times New Roman" w:hAnsi="Times New Roman" w:cs="Times New Roman"/>
          <w:sz w:val="24"/>
          <w:szCs w:val="24"/>
        </w:rPr>
        <w:t>pozostających bez</w:t>
      </w:r>
      <w:r w:rsidR="00161F10">
        <w:rPr>
          <w:rFonts w:ascii="Times New Roman" w:hAnsi="Times New Roman" w:cs="Times New Roman"/>
          <w:sz w:val="24"/>
          <w:szCs w:val="24"/>
        </w:rPr>
        <w:t xml:space="preserve"> pra</w:t>
      </w:r>
      <w:r>
        <w:rPr>
          <w:rFonts w:ascii="Times New Roman" w:hAnsi="Times New Roman" w:cs="Times New Roman"/>
          <w:sz w:val="24"/>
          <w:szCs w:val="24"/>
        </w:rPr>
        <w:t>cy do 1 roku włącznie malał w kolejnych grupach wiekowych i wyniósł</w:t>
      </w:r>
      <w:r w:rsidR="00161F10">
        <w:rPr>
          <w:rFonts w:ascii="Times New Roman" w:hAnsi="Times New Roman" w:cs="Times New Roman"/>
          <w:sz w:val="24"/>
          <w:szCs w:val="24"/>
        </w:rPr>
        <w:t xml:space="preserve"> odpowiednio: 35,2%, 32,1%, 28,1% i 24,4% dla grup wiekowych: 50-54 lata, 55-59 lat, 60-64 lata i 65-69 lat.</w:t>
      </w:r>
    </w:p>
    <w:p w:rsidR="00161F10" w:rsidRPr="00671E52" w:rsidRDefault="00161F10" w:rsidP="00161F10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Wśród osób z wykształceniem wyższym najwięcej </w:t>
      </w:r>
      <w:r w:rsidR="00090D4A">
        <w:rPr>
          <w:rFonts w:ascii="Times New Roman" w:hAnsi="Times New Roman" w:cs="Times New Roman"/>
          <w:sz w:val="24"/>
          <w:szCs w:val="24"/>
        </w:rPr>
        <w:t xml:space="preserve">osób </w:t>
      </w:r>
      <w:r w:rsidR="00140400">
        <w:rPr>
          <w:rFonts w:ascii="Times New Roman" w:hAnsi="Times New Roman" w:cs="Times New Roman"/>
          <w:sz w:val="24"/>
          <w:szCs w:val="24"/>
        </w:rPr>
        <w:t>pozostawało bez pracy do 1 </w:t>
      </w:r>
      <w:r>
        <w:rPr>
          <w:rFonts w:ascii="Times New Roman" w:hAnsi="Times New Roman" w:cs="Times New Roman"/>
          <w:sz w:val="24"/>
          <w:szCs w:val="24"/>
        </w:rPr>
        <w:t xml:space="preserve">roku włącznie – 8,3 tys., tj. 37,7%. Podobnie było dla osób z wykształceniem policealnym i średnim zawodowym – 30,5 tys., tj. 35,3% oraz z wykształceniem zasadniczym zawodowym – 49,6 tys., tj. 34,4%. Z kolei wśród osób z wykształceniem średnim ogólnokształcącym oraz gimnazjalnym </w:t>
      </w:r>
      <w:r w:rsidR="005C0F09">
        <w:rPr>
          <w:rFonts w:ascii="Times New Roman" w:hAnsi="Times New Roman" w:cs="Times New Roman"/>
          <w:sz w:val="24"/>
          <w:szCs w:val="24"/>
        </w:rPr>
        <w:t xml:space="preserve">i niższym </w:t>
      </w:r>
      <w:r>
        <w:rPr>
          <w:rFonts w:ascii="Times New Roman" w:hAnsi="Times New Roman" w:cs="Times New Roman"/>
          <w:sz w:val="24"/>
          <w:szCs w:val="24"/>
        </w:rPr>
        <w:t>(ł</w:t>
      </w:r>
      <w:r w:rsidRPr="008F5147">
        <w:rPr>
          <w:rFonts w:ascii="Times New Roman" w:hAnsi="Times New Roman" w:cs="Times New Roman"/>
          <w:sz w:val="24"/>
          <w:szCs w:val="24"/>
        </w:rPr>
        <w:t>ącznie z wykształceniem podstawowym nieukończonym i bez wykształcenia szkolnego</w:t>
      </w:r>
      <w:r>
        <w:rPr>
          <w:rFonts w:ascii="Times New Roman" w:hAnsi="Times New Roman" w:cs="Times New Roman"/>
          <w:sz w:val="24"/>
          <w:szCs w:val="24"/>
        </w:rPr>
        <w:t xml:space="preserve">) najwięcej osób </w:t>
      </w:r>
      <w:r w:rsidR="00140400">
        <w:rPr>
          <w:rFonts w:ascii="Times New Roman" w:hAnsi="Times New Roman" w:cs="Times New Roman"/>
          <w:sz w:val="24"/>
          <w:szCs w:val="24"/>
        </w:rPr>
        <w:t>pozostawało bez</w:t>
      </w:r>
      <w:r>
        <w:rPr>
          <w:rFonts w:ascii="Times New Roman" w:hAnsi="Times New Roman" w:cs="Times New Roman"/>
          <w:sz w:val="24"/>
          <w:szCs w:val="24"/>
        </w:rPr>
        <w:t xml:space="preserve"> pracy </w:t>
      </w:r>
      <w:r w:rsidR="00E9354B">
        <w:rPr>
          <w:rFonts w:ascii="Times New Roman" w:hAnsi="Times New Roman" w:cs="Times New Roman"/>
          <w:sz w:val="24"/>
          <w:szCs w:val="24"/>
        </w:rPr>
        <w:t>9 lat i więcej – odpowiednio 10,3 tys., tj. </w:t>
      </w:r>
      <w:r>
        <w:rPr>
          <w:rFonts w:ascii="Times New Roman" w:hAnsi="Times New Roman" w:cs="Times New Roman"/>
          <w:sz w:val="24"/>
          <w:szCs w:val="24"/>
        </w:rPr>
        <w:t>34,7% i 33</w:t>
      </w:r>
      <w:r w:rsidR="00E9354B">
        <w:rPr>
          <w:rFonts w:ascii="Times New Roman" w:hAnsi="Times New Roman" w:cs="Times New Roman"/>
          <w:sz w:val="24"/>
          <w:szCs w:val="24"/>
        </w:rPr>
        <w:t>,9 tys., tj. 44,0%</w:t>
      </w:r>
      <w:r w:rsidR="005C508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Prawie połowa osób długotrwale bezrobotnych (48,5%) pozostawała bez pracy 9 lat i więcej, a 28,0% długotrwale bezrobotnych pozostawało bez pracy 2 – 3 lata.</w:t>
      </w:r>
    </w:p>
    <w:p w:rsidR="0065037C" w:rsidRDefault="0065037C" w:rsidP="00D819D7">
      <w:pPr>
        <w:spacing w:line="360" w:lineRule="auto"/>
        <w:jc w:val="both"/>
        <w:rPr>
          <w:rFonts w:ascii="Times New Roman" w:hAnsi="Times New Roman" w:cs="Times New Roman"/>
          <w:b/>
          <w:color w:val="182744"/>
          <w:sz w:val="28"/>
          <w:szCs w:val="24"/>
        </w:rPr>
      </w:pPr>
    </w:p>
    <w:p w:rsidR="0065037C" w:rsidRDefault="0065037C" w:rsidP="00D819D7">
      <w:pPr>
        <w:spacing w:line="360" w:lineRule="auto"/>
        <w:jc w:val="both"/>
        <w:rPr>
          <w:rFonts w:ascii="Times New Roman" w:hAnsi="Times New Roman" w:cs="Times New Roman"/>
          <w:b/>
          <w:color w:val="182744"/>
          <w:sz w:val="28"/>
          <w:szCs w:val="24"/>
        </w:rPr>
      </w:pPr>
    </w:p>
    <w:p w:rsidR="00EA1890" w:rsidRPr="00271254" w:rsidRDefault="00675E7E" w:rsidP="00D819D7">
      <w:pPr>
        <w:spacing w:line="360" w:lineRule="auto"/>
        <w:jc w:val="both"/>
        <w:rPr>
          <w:rFonts w:ascii="Times New Roman" w:hAnsi="Times New Roman" w:cs="Times New Roman"/>
          <w:b/>
          <w:color w:val="182744"/>
          <w:sz w:val="28"/>
          <w:szCs w:val="24"/>
        </w:rPr>
      </w:pPr>
      <w:r>
        <w:rPr>
          <w:rFonts w:ascii="Times New Roman" w:hAnsi="Times New Roman" w:cs="Times New Roman"/>
          <w:b/>
          <w:color w:val="182744"/>
          <w:sz w:val="28"/>
          <w:szCs w:val="24"/>
        </w:rPr>
        <w:lastRenderedPageBreak/>
        <w:t>2.</w:t>
      </w:r>
      <w:r w:rsidR="00FC2AEC">
        <w:rPr>
          <w:rFonts w:ascii="Times New Roman" w:hAnsi="Times New Roman" w:cs="Times New Roman"/>
          <w:b/>
          <w:color w:val="182744"/>
          <w:sz w:val="28"/>
          <w:szCs w:val="24"/>
        </w:rPr>
        <w:t>4</w:t>
      </w:r>
      <w:r>
        <w:rPr>
          <w:rFonts w:ascii="Times New Roman" w:hAnsi="Times New Roman" w:cs="Times New Roman"/>
          <w:b/>
          <w:color w:val="182744"/>
          <w:sz w:val="28"/>
          <w:szCs w:val="24"/>
        </w:rPr>
        <w:t xml:space="preserve">. </w:t>
      </w:r>
      <w:r w:rsidR="00B76ECA" w:rsidRPr="00271254">
        <w:rPr>
          <w:rFonts w:ascii="Times New Roman" w:hAnsi="Times New Roman" w:cs="Times New Roman"/>
          <w:b/>
          <w:color w:val="182744"/>
          <w:sz w:val="28"/>
          <w:szCs w:val="24"/>
        </w:rPr>
        <w:t>Bierni zawodowo</w:t>
      </w:r>
      <w:r w:rsidR="00271254" w:rsidRPr="00271254">
        <w:rPr>
          <w:rFonts w:ascii="Times New Roman" w:hAnsi="Times New Roman" w:cs="Times New Roman"/>
          <w:b/>
          <w:color w:val="182744"/>
          <w:sz w:val="28"/>
          <w:szCs w:val="24"/>
        </w:rPr>
        <w:t xml:space="preserve"> w wieku 50-69 lat</w:t>
      </w:r>
    </w:p>
    <w:p w:rsidR="00CE4004" w:rsidRPr="007D064A" w:rsidRDefault="00EA1890" w:rsidP="001964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Według wyników spisu powszechnego w </w:t>
      </w:r>
      <w:r w:rsidR="00FC2AEC">
        <w:rPr>
          <w:rFonts w:ascii="Times New Roman" w:hAnsi="Times New Roman" w:cs="Times New Roman"/>
          <w:color w:val="182744"/>
          <w:sz w:val="24"/>
          <w:szCs w:val="24"/>
        </w:rPr>
        <w:t xml:space="preserve">końcu 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marc</w:t>
      </w:r>
      <w:r w:rsidR="00FC2AEC">
        <w:rPr>
          <w:rFonts w:ascii="Times New Roman" w:hAnsi="Times New Roman" w:cs="Times New Roman"/>
          <w:color w:val="182744"/>
          <w:sz w:val="24"/>
          <w:szCs w:val="24"/>
        </w:rPr>
        <w:t>a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82744"/>
          <w:sz w:val="24"/>
          <w:szCs w:val="24"/>
        </w:rPr>
        <w:t xml:space="preserve">2011 r. populacja osób biernych 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zawodowo liczyła 13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 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907,5 tys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 xml:space="preserve">., z tego 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3</w:t>
      </w:r>
      <w:r>
        <w:rPr>
          <w:rFonts w:ascii="Times New Roman" w:hAnsi="Times New Roman" w:cs="Times New Roman"/>
          <w:color w:val="182744"/>
          <w:sz w:val="24"/>
          <w:szCs w:val="24"/>
        </w:rPr>
        <w:t>6,6% to osoby w wieku 50-69 lat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 w:rsidR="0065037C">
        <w:rPr>
          <w:rFonts w:ascii="Times New Roman" w:hAnsi="Times New Roman" w:cs="Times New Roman"/>
          <w:color w:val="182744"/>
          <w:sz w:val="24"/>
          <w:szCs w:val="24"/>
        </w:rPr>
        <w:br/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(</w:t>
      </w:r>
      <w:r w:rsidR="00C22291" w:rsidRPr="007D064A">
        <w:rPr>
          <w:rFonts w:ascii="Times New Roman" w:hAnsi="Times New Roman" w:cs="Times New Roman"/>
          <w:color w:val="182744"/>
          <w:sz w:val="24"/>
          <w:szCs w:val="24"/>
        </w:rPr>
        <w:t>5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 </w:t>
      </w:r>
      <w:r w:rsidR="00C22291" w:rsidRPr="007D064A">
        <w:rPr>
          <w:rFonts w:ascii="Times New Roman" w:hAnsi="Times New Roman" w:cs="Times New Roman"/>
          <w:color w:val="182744"/>
          <w:sz w:val="24"/>
          <w:szCs w:val="24"/>
        </w:rPr>
        <w:t>085,1 tys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.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).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Z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decydowaną większość w grupie osób</w:t>
      </w:r>
      <w:r w:rsidR="00E9774D">
        <w:rPr>
          <w:rFonts w:ascii="Times New Roman" w:hAnsi="Times New Roman" w:cs="Times New Roman"/>
          <w:color w:val="182744"/>
          <w:sz w:val="24"/>
          <w:szCs w:val="24"/>
        </w:rPr>
        <w:t xml:space="preserve"> biernych zawodowo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w wieku 50-69 lat stanowiły kobiety (60,7%). Biorąc pod uwagę pięcioletnie grupy wiekowe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najliczniej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sz</w:t>
      </w:r>
      <w:r w:rsidR="00FC2AEC">
        <w:rPr>
          <w:rFonts w:ascii="Times New Roman" w:hAnsi="Times New Roman" w:cs="Times New Roman"/>
          <w:color w:val="182744"/>
          <w:sz w:val="24"/>
          <w:szCs w:val="24"/>
        </w:rPr>
        <w:t>ą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 xml:space="preserve"> była grupa osób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w wieku 60-64 lat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>a</w:t>
      </w:r>
      <w:r w:rsidR="00421F19">
        <w:rPr>
          <w:rFonts w:ascii="Times New Roman" w:hAnsi="Times New Roman" w:cs="Times New Roman"/>
          <w:color w:val="182744"/>
          <w:sz w:val="24"/>
          <w:szCs w:val="24"/>
        </w:rPr>
        <w:t>,</w:t>
      </w:r>
      <w:r w:rsidR="00C22291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>a </w:t>
      </w:r>
      <w:r w:rsidR="00421F19">
        <w:rPr>
          <w:rFonts w:ascii="Times New Roman" w:hAnsi="Times New Roman" w:cs="Times New Roman"/>
          <w:color w:val="182744"/>
          <w:sz w:val="24"/>
          <w:szCs w:val="24"/>
        </w:rPr>
        <w:t>najmniej liczna była grupa wiekowa</w:t>
      </w:r>
      <w:r>
        <w:rPr>
          <w:rFonts w:ascii="Times New Roman" w:hAnsi="Times New Roman" w:cs="Times New Roman"/>
          <w:color w:val="182744"/>
          <w:sz w:val="24"/>
          <w:szCs w:val="24"/>
        </w:rPr>
        <w:t xml:space="preserve"> 50-54 </w:t>
      </w:r>
      <w:r w:rsidR="00421F19">
        <w:rPr>
          <w:rFonts w:ascii="Times New Roman" w:hAnsi="Times New Roman" w:cs="Times New Roman"/>
          <w:color w:val="182744"/>
          <w:sz w:val="24"/>
          <w:szCs w:val="24"/>
        </w:rPr>
        <w:t>lata.</w:t>
      </w:r>
      <w:r w:rsidR="00090D4A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>Porównując występowanie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bierności zawodowej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 xml:space="preserve"> według miejsca zamieszkania w grupie wiekowej 50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-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>69 l</w:t>
      </w:r>
      <w:r w:rsidR="00140400">
        <w:rPr>
          <w:rFonts w:ascii="Times New Roman" w:hAnsi="Times New Roman" w:cs="Times New Roman"/>
          <w:color w:val="182744"/>
          <w:sz w:val="24"/>
          <w:szCs w:val="24"/>
        </w:rPr>
        <w:t>at odnotowano, że 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>biernych zawodowo było więcej wśród mieszkańców miast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>(66,1</w:t>
      </w:r>
      <w:r w:rsidR="008D03B8">
        <w:rPr>
          <w:rFonts w:ascii="Times New Roman" w:hAnsi="Times New Roman" w:cs="Times New Roman"/>
          <w:color w:val="182744"/>
          <w:sz w:val="24"/>
          <w:szCs w:val="24"/>
        </w:rPr>
        <w:t>%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) niż </w:t>
      </w:r>
      <w:r w:rsidR="00CE4004">
        <w:rPr>
          <w:rFonts w:ascii="Times New Roman" w:hAnsi="Times New Roman" w:cs="Times New Roman"/>
          <w:color w:val="182744"/>
          <w:sz w:val="24"/>
          <w:szCs w:val="24"/>
        </w:rPr>
        <w:t>wśród mieszkańców wsi (33,9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%).</w:t>
      </w:r>
    </w:p>
    <w:p w:rsidR="00CE4004" w:rsidRPr="0019647C" w:rsidRDefault="00422162" w:rsidP="00422162">
      <w:pPr>
        <w:pStyle w:val="Legenda"/>
        <w:rPr>
          <w:rFonts w:ascii="Times New Roman" w:hAnsi="Times New Roman" w:cs="Times New Roman"/>
          <w:bCs w:val="0"/>
          <w:color w:val="auto"/>
          <w:sz w:val="20"/>
          <w:szCs w:val="22"/>
        </w:rPr>
      </w:pPr>
      <w:r w:rsidRPr="0019647C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2.11</w:t>
      </w:r>
      <w:r w:rsidRPr="0019647C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CE4004" w:rsidRPr="0019647C">
        <w:rPr>
          <w:rFonts w:ascii="Times New Roman" w:hAnsi="Times New Roman" w:cs="Times New Roman"/>
          <w:bCs w:val="0"/>
          <w:color w:val="auto"/>
          <w:sz w:val="20"/>
          <w:szCs w:val="22"/>
        </w:rPr>
        <w:t xml:space="preserve">Bierni zawodowo </w:t>
      </w:r>
      <w:r w:rsidR="00E9774D" w:rsidRPr="0019647C">
        <w:rPr>
          <w:rFonts w:ascii="Times New Roman" w:hAnsi="Times New Roman" w:cs="Times New Roman"/>
          <w:bCs w:val="0"/>
          <w:color w:val="auto"/>
          <w:sz w:val="20"/>
          <w:szCs w:val="22"/>
        </w:rPr>
        <w:t xml:space="preserve">w wieku 50-69 lat </w:t>
      </w:r>
      <w:r w:rsidR="00CE4004" w:rsidRPr="0019647C">
        <w:rPr>
          <w:rFonts w:ascii="Times New Roman" w:hAnsi="Times New Roman" w:cs="Times New Roman"/>
          <w:bCs w:val="0"/>
          <w:color w:val="auto"/>
          <w:sz w:val="20"/>
          <w:szCs w:val="22"/>
        </w:rPr>
        <w:t>według wieku, płci i miejsca zamieszkania</w:t>
      </w:r>
    </w:p>
    <w:tbl>
      <w:tblPr>
        <w:tblW w:w="912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71"/>
        <w:gridCol w:w="1188"/>
        <w:gridCol w:w="983"/>
        <w:gridCol w:w="1196"/>
        <w:gridCol w:w="1196"/>
        <w:gridCol w:w="1196"/>
        <w:gridCol w:w="1196"/>
      </w:tblGrid>
      <w:tr w:rsidR="00CE4004" w:rsidRPr="00CE4004" w:rsidTr="001F19BE">
        <w:trPr>
          <w:trHeight w:val="388"/>
        </w:trPr>
        <w:tc>
          <w:tcPr>
            <w:tcW w:w="217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04" w:rsidRPr="00CE4004" w:rsidRDefault="0022500E" w:rsidP="000274B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22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yszczególnienie</w:t>
            </w:r>
          </w:p>
        </w:tc>
        <w:tc>
          <w:tcPr>
            <w:tcW w:w="2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4004" w:rsidRPr="00CE4004" w:rsidRDefault="00CE4004" w:rsidP="000274B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4004" w:rsidRPr="00CE4004" w:rsidRDefault="00CE4004" w:rsidP="000274B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Wiek (w latach)</w:t>
            </w:r>
          </w:p>
        </w:tc>
      </w:tr>
      <w:tr w:rsidR="00CE4004" w:rsidRPr="00CE4004" w:rsidTr="00422162">
        <w:trPr>
          <w:trHeight w:val="314"/>
        </w:trPr>
        <w:tc>
          <w:tcPr>
            <w:tcW w:w="217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004" w:rsidRPr="00CE4004" w:rsidRDefault="00CE4004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004" w:rsidRPr="00CE4004" w:rsidRDefault="00CE4004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04" w:rsidRPr="00CE4004" w:rsidRDefault="00CE4004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50-54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04" w:rsidRPr="00CE4004" w:rsidRDefault="00CE4004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55-59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004" w:rsidRPr="00CE4004" w:rsidRDefault="00CE4004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60-64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4004" w:rsidRPr="00CE4004" w:rsidRDefault="00CE4004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65-69</w:t>
            </w:r>
          </w:p>
        </w:tc>
      </w:tr>
      <w:tr w:rsidR="00CE4004" w:rsidRPr="00CE4004" w:rsidTr="0022500E">
        <w:trPr>
          <w:trHeight w:val="298"/>
        </w:trPr>
        <w:tc>
          <w:tcPr>
            <w:tcW w:w="217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004" w:rsidRPr="00CE4004" w:rsidRDefault="00CE4004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04" w:rsidRPr="00CE4004" w:rsidRDefault="00CE4004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tys.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004" w:rsidRPr="00CE4004" w:rsidRDefault="00CE4004" w:rsidP="0022500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CE4004" w:rsidRPr="003C00AE" w:rsidTr="00422162">
        <w:trPr>
          <w:trHeight w:val="314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04" w:rsidRPr="003C00AE" w:rsidRDefault="0022500E" w:rsidP="000274B4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gółem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3C00AE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0A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5085,1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3C00AE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0A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3C00AE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0A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14,4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3C00AE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0A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26,4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3C00AE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0A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35,3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CE4004" w:rsidRPr="003C00AE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C00A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23,9</w:t>
            </w:r>
          </w:p>
        </w:tc>
      </w:tr>
      <w:tr w:rsidR="00CE4004" w:rsidRPr="00CE4004" w:rsidTr="00422162">
        <w:trPr>
          <w:trHeight w:val="314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44784F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CE4004"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1996,9</w:t>
            </w:r>
          </w:p>
        </w:tc>
        <w:tc>
          <w:tcPr>
            <w:tcW w:w="9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15,5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23,4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35,9</w:t>
            </w:r>
          </w:p>
        </w:tc>
        <w:tc>
          <w:tcPr>
            <w:tcW w:w="1196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25,2</w:t>
            </w:r>
          </w:p>
        </w:tc>
      </w:tr>
      <w:tr w:rsidR="00CE4004" w:rsidRPr="00CE4004" w:rsidTr="00422162">
        <w:trPr>
          <w:trHeight w:val="314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44784F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CE4004"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3088,1</w:t>
            </w:r>
          </w:p>
        </w:tc>
        <w:tc>
          <w:tcPr>
            <w:tcW w:w="9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13,7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28,4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34,9</w:t>
            </w:r>
          </w:p>
        </w:tc>
        <w:tc>
          <w:tcPr>
            <w:tcW w:w="1196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23,0</w:t>
            </w:r>
          </w:p>
        </w:tc>
      </w:tr>
      <w:tr w:rsidR="00CE4004" w:rsidRPr="00CE4004" w:rsidTr="00422162">
        <w:trPr>
          <w:trHeight w:val="314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3363,7</w:t>
            </w:r>
          </w:p>
        </w:tc>
        <w:tc>
          <w:tcPr>
            <w:tcW w:w="9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13,8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26,3</w:t>
            </w:r>
          </w:p>
        </w:tc>
        <w:tc>
          <w:tcPr>
            <w:tcW w:w="11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35,8</w:t>
            </w:r>
          </w:p>
        </w:tc>
        <w:tc>
          <w:tcPr>
            <w:tcW w:w="1196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24,1</w:t>
            </w:r>
          </w:p>
        </w:tc>
      </w:tr>
      <w:tr w:rsidR="00CE4004" w:rsidRPr="00CE4004" w:rsidTr="00422162">
        <w:trPr>
          <w:trHeight w:val="314"/>
        </w:trPr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1721,4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004" w:rsidRPr="00CE4004" w:rsidRDefault="00CE4004" w:rsidP="000274B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E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23,4</w:t>
            </w:r>
          </w:p>
        </w:tc>
      </w:tr>
    </w:tbl>
    <w:p w:rsidR="00CE4004" w:rsidRPr="007D064A" w:rsidRDefault="00CE4004" w:rsidP="00CE40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A1890" w:rsidRDefault="00EA1890" w:rsidP="001F1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182744"/>
          <w:sz w:val="24"/>
          <w:szCs w:val="24"/>
        </w:rPr>
      </w:pP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Bierni zawodowo </w:t>
      </w:r>
      <w:r w:rsidR="008D03B8">
        <w:rPr>
          <w:rFonts w:ascii="Times New Roman" w:hAnsi="Times New Roman" w:cs="Times New Roman"/>
          <w:color w:val="182744"/>
          <w:sz w:val="24"/>
          <w:szCs w:val="24"/>
        </w:rPr>
        <w:t xml:space="preserve">w wieku 50-69 lat 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>charakteryzowali się w</w:t>
      </w:r>
      <w:r>
        <w:rPr>
          <w:rFonts w:ascii="Times New Roman" w:hAnsi="Times New Roman" w:cs="Times New Roman"/>
          <w:color w:val="182744"/>
          <w:sz w:val="24"/>
          <w:szCs w:val="24"/>
        </w:rPr>
        <w:t xml:space="preserve"> znacznej mierze wykształceniem</w:t>
      </w:r>
      <w:r w:rsidR="008D03B8">
        <w:rPr>
          <w:rFonts w:ascii="Times New Roman" w:hAnsi="Times New Roman" w:cs="Times New Roman"/>
          <w:color w:val="182744"/>
          <w:sz w:val="24"/>
          <w:szCs w:val="24"/>
        </w:rPr>
        <w:t xml:space="preserve"> zasadniczym zawodowym i niższym.</w:t>
      </w:r>
      <w:r w:rsidR="000470CA">
        <w:rPr>
          <w:rFonts w:ascii="Times New Roman" w:hAnsi="Times New Roman" w:cs="Times New Roman"/>
          <w:color w:val="18274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82744"/>
          <w:sz w:val="24"/>
          <w:szCs w:val="24"/>
        </w:rPr>
        <w:t>W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ykształcenie </w:t>
      </w:r>
      <w:r w:rsidRPr="007D064A">
        <w:rPr>
          <w:rFonts w:ascii="Times New Roman" w:hAnsi="Times New Roman" w:cs="Times New Roman"/>
          <w:sz w:val="24"/>
          <w:szCs w:val="24"/>
        </w:rPr>
        <w:t>co najmniej</w:t>
      </w:r>
      <w:r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średnie </w:t>
      </w:r>
      <w:r w:rsidRPr="00666335">
        <w:rPr>
          <w:rFonts w:ascii="Times New Roman" w:hAnsi="Times New Roman" w:cs="Times New Roman"/>
          <w:color w:val="182744"/>
          <w:sz w:val="24"/>
          <w:szCs w:val="24"/>
        </w:rPr>
        <w:t>posiadało 46,6% biernych zawo</w:t>
      </w:r>
      <w:r w:rsidR="000470CA" w:rsidRPr="00666335">
        <w:rPr>
          <w:rFonts w:ascii="Times New Roman" w:hAnsi="Times New Roman" w:cs="Times New Roman"/>
          <w:color w:val="182744"/>
          <w:sz w:val="24"/>
          <w:szCs w:val="24"/>
        </w:rPr>
        <w:t>dowo kobiet</w:t>
      </w:r>
      <w:r w:rsidRPr="00666335">
        <w:rPr>
          <w:rFonts w:ascii="Times New Roman" w:hAnsi="Times New Roman" w:cs="Times New Roman"/>
          <w:color w:val="182744"/>
          <w:sz w:val="24"/>
          <w:szCs w:val="24"/>
        </w:rPr>
        <w:t xml:space="preserve"> i 34,2% mężczyzn. </w:t>
      </w:r>
      <w:r w:rsidR="000470CA" w:rsidRPr="00666335">
        <w:rPr>
          <w:rFonts w:ascii="Times New Roman" w:hAnsi="Times New Roman" w:cs="Times New Roman"/>
          <w:color w:val="182744"/>
          <w:sz w:val="24"/>
          <w:szCs w:val="24"/>
        </w:rPr>
        <w:t xml:space="preserve">Lepiej wykształceni byli </w:t>
      </w:r>
      <w:r w:rsidRPr="00666335">
        <w:rPr>
          <w:rFonts w:ascii="Times New Roman" w:hAnsi="Times New Roman" w:cs="Times New Roman"/>
          <w:color w:val="182744"/>
          <w:sz w:val="24"/>
          <w:szCs w:val="24"/>
        </w:rPr>
        <w:t xml:space="preserve">mieszkańcy miast niż wsi – </w:t>
      </w:r>
      <w:r w:rsidR="00E9774D">
        <w:rPr>
          <w:rFonts w:ascii="Times New Roman" w:hAnsi="Times New Roman" w:cs="Times New Roman"/>
          <w:color w:val="182744"/>
          <w:sz w:val="24"/>
          <w:szCs w:val="24"/>
        </w:rPr>
        <w:t>w</w:t>
      </w:r>
      <w:r w:rsidR="00E9774D"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ykształcenie </w:t>
      </w:r>
      <w:r w:rsidR="00E9774D" w:rsidRPr="007D064A">
        <w:rPr>
          <w:rFonts w:ascii="Times New Roman" w:hAnsi="Times New Roman" w:cs="Times New Roman"/>
          <w:sz w:val="24"/>
          <w:szCs w:val="24"/>
        </w:rPr>
        <w:t>co najmniej</w:t>
      </w:r>
      <w:r w:rsidR="00E9774D" w:rsidRPr="007D064A">
        <w:rPr>
          <w:rFonts w:ascii="Times New Roman" w:hAnsi="Times New Roman" w:cs="Times New Roman"/>
          <w:color w:val="182744"/>
          <w:sz w:val="24"/>
          <w:szCs w:val="24"/>
        </w:rPr>
        <w:t xml:space="preserve"> średnie </w:t>
      </w:r>
      <w:r w:rsidR="00E9774D" w:rsidRPr="00666335">
        <w:rPr>
          <w:rFonts w:ascii="Times New Roman" w:hAnsi="Times New Roman" w:cs="Times New Roman"/>
          <w:color w:val="182744"/>
          <w:sz w:val="24"/>
          <w:szCs w:val="24"/>
        </w:rPr>
        <w:t xml:space="preserve">posiadało </w:t>
      </w:r>
      <w:r w:rsidRPr="00666335">
        <w:rPr>
          <w:rFonts w:ascii="Times New Roman" w:hAnsi="Times New Roman" w:cs="Times New Roman"/>
          <w:color w:val="182744"/>
          <w:sz w:val="24"/>
          <w:szCs w:val="24"/>
        </w:rPr>
        <w:t>odpowiednio 51,1% i 23,5%.</w:t>
      </w:r>
    </w:p>
    <w:p w:rsidR="00666335" w:rsidRPr="001F19BE" w:rsidRDefault="00666335" w:rsidP="00467886">
      <w:pPr>
        <w:pStyle w:val="Legenda"/>
        <w:spacing w:after="0"/>
        <w:ind w:left="1276" w:hanging="1276"/>
        <w:jc w:val="both"/>
        <w:rPr>
          <w:rFonts w:ascii="Times New Roman" w:hAnsi="Times New Roman" w:cs="Times New Roman"/>
          <w:bCs w:val="0"/>
          <w:color w:val="auto"/>
          <w:sz w:val="20"/>
          <w:szCs w:val="22"/>
          <w:vertAlign w:val="superscript"/>
        </w:rPr>
      </w:pPr>
      <w:r w:rsidRPr="001F19BE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2.12</w:t>
      </w:r>
      <w:r w:rsidRPr="001F19BE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Pr="001F19BE">
        <w:rPr>
          <w:rFonts w:ascii="Times New Roman" w:hAnsi="Times New Roman" w:cs="Times New Roman"/>
          <w:bCs w:val="0"/>
          <w:color w:val="auto"/>
          <w:sz w:val="20"/>
          <w:szCs w:val="22"/>
        </w:rPr>
        <w:t>Bierni zawodowo w wieku 50-69 lat według poziomu wykształcenia, płci i miejsca zamieszkania</w:t>
      </w:r>
      <w:r w:rsidRPr="001F19BE">
        <w:rPr>
          <w:rFonts w:ascii="Times New Roman" w:hAnsi="Times New Roman" w:cs="Times New Roman"/>
          <w:bCs w:val="0"/>
          <w:color w:val="auto"/>
          <w:sz w:val="20"/>
          <w:szCs w:val="22"/>
          <w:vertAlign w:val="superscript"/>
        </w:rPr>
        <w:t>*</w:t>
      </w:r>
    </w:p>
    <w:tbl>
      <w:tblPr>
        <w:tblW w:w="9063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265"/>
        <w:gridCol w:w="1133"/>
        <w:gridCol w:w="1133"/>
        <w:gridCol w:w="1133"/>
        <w:gridCol w:w="1133"/>
        <w:gridCol w:w="1133"/>
        <w:gridCol w:w="1133"/>
      </w:tblGrid>
      <w:tr w:rsidR="00666335" w:rsidRPr="00EC026B" w:rsidTr="001F19BE">
        <w:trPr>
          <w:trHeight w:val="422"/>
        </w:trPr>
        <w:tc>
          <w:tcPr>
            <w:tcW w:w="226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6335" w:rsidRPr="00EC026B" w:rsidRDefault="0022500E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22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yszczególnienie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35" w:rsidRPr="00EC026B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5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335" w:rsidRPr="00EC026B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Poziom wykształcenia</w:t>
            </w:r>
          </w:p>
        </w:tc>
      </w:tr>
      <w:tr w:rsidR="00666335" w:rsidRPr="00EC026B" w:rsidTr="00666335">
        <w:trPr>
          <w:trHeight w:val="699"/>
        </w:trPr>
        <w:tc>
          <w:tcPr>
            <w:tcW w:w="226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6335" w:rsidRPr="00EC026B" w:rsidRDefault="00666335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6335" w:rsidRPr="00EC026B" w:rsidRDefault="00666335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35" w:rsidRPr="00EC026B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Wyższe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4F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Policealne </w:t>
            </w:r>
          </w:p>
          <w:p w:rsidR="00666335" w:rsidRPr="00EC026B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 średnie zawodowe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35" w:rsidRPr="00EC026B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Średnie ogólno-kształcące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35" w:rsidRPr="00EC026B" w:rsidRDefault="00666335" w:rsidP="00791B5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Zasadnicze zawodowe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66335" w:rsidRPr="00EC026B" w:rsidRDefault="00666335" w:rsidP="0066633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</w:t>
            </w: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imnazjalne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i niższe</w:t>
            </w: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*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666335" w:rsidRPr="00EC026B" w:rsidTr="0022500E">
        <w:trPr>
          <w:trHeight w:val="295"/>
        </w:trPr>
        <w:tc>
          <w:tcPr>
            <w:tcW w:w="226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6335" w:rsidRPr="00EC026B" w:rsidRDefault="00666335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6335" w:rsidRPr="00EC026B" w:rsidRDefault="00666335" w:rsidP="0022500E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666335" w:rsidRPr="00EC026B" w:rsidTr="00666335">
        <w:trPr>
          <w:trHeight w:val="295"/>
        </w:trPr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="0022500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gółem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8,6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22,6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10,6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28,2</w:t>
            </w:r>
          </w:p>
        </w:tc>
      </w:tr>
      <w:tr w:rsidR="00666335" w:rsidRPr="00EC026B" w:rsidTr="00666335">
        <w:trPr>
          <w:trHeight w:val="295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44784F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666335"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Mężczyźni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20,6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39,6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26,1</w:t>
            </w:r>
          </w:p>
        </w:tc>
      </w:tr>
      <w:tr w:rsidR="00666335" w:rsidRPr="00EC026B" w:rsidTr="00666335">
        <w:trPr>
          <w:trHeight w:val="295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44784F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666335"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23,8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29,6</w:t>
            </w:r>
          </w:p>
        </w:tc>
      </w:tr>
      <w:tr w:rsidR="00666335" w:rsidRPr="00EC026B" w:rsidTr="00666335">
        <w:trPr>
          <w:trHeight w:val="295"/>
        </w:trPr>
        <w:tc>
          <w:tcPr>
            <w:tcW w:w="2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11,0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27,1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13,0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29,5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19,4</w:t>
            </w:r>
          </w:p>
        </w:tc>
      </w:tr>
      <w:tr w:rsidR="00666335" w:rsidRPr="00EC026B" w:rsidTr="00666335">
        <w:trPr>
          <w:trHeight w:val="295"/>
        </w:trPr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335" w:rsidRPr="00EC026B" w:rsidRDefault="00666335" w:rsidP="00791B5D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C02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45,4</w:t>
            </w:r>
          </w:p>
        </w:tc>
      </w:tr>
    </w:tbl>
    <w:p w:rsidR="00666335" w:rsidRPr="001F19BE" w:rsidRDefault="00666335" w:rsidP="006663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19B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* </w:t>
      </w:r>
      <w:r w:rsidRPr="001F19BE">
        <w:rPr>
          <w:rFonts w:ascii="Times New Roman" w:hAnsi="Times New Roman" w:cs="Times New Roman"/>
          <w:sz w:val="20"/>
          <w:szCs w:val="20"/>
        </w:rPr>
        <w:t>w tabeli uwzględniono nieustalonego poziomu wykształcenia</w:t>
      </w:r>
    </w:p>
    <w:p w:rsidR="00666335" w:rsidRPr="001F19BE" w:rsidRDefault="00666335" w:rsidP="00666335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F19B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** łącznie z wykształceniem podstawowym nieukończonym i bez wykształcenia szkolnego</w:t>
      </w:r>
    </w:p>
    <w:p w:rsidR="00FC2AEC" w:rsidRDefault="00FC2AEC" w:rsidP="001F1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888" w:rsidRDefault="00090D4A" w:rsidP="001F19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0470CA" w:rsidRPr="00666335">
        <w:rPr>
          <w:rFonts w:ascii="Times New Roman" w:hAnsi="Times New Roman" w:cs="Times New Roman"/>
          <w:sz w:val="24"/>
          <w:szCs w:val="24"/>
        </w:rPr>
        <w:t>rawie 80</w:t>
      </w:r>
      <w:r w:rsidR="00EA1890" w:rsidRPr="00666335">
        <w:rPr>
          <w:rFonts w:ascii="Times New Roman" w:hAnsi="Times New Roman" w:cs="Times New Roman"/>
          <w:sz w:val="24"/>
          <w:szCs w:val="24"/>
        </w:rPr>
        <w:t xml:space="preserve">% biernych zawodowo </w:t>
      </w:r>
      <w:r w:rsidR="008D7CDF">
        <w:rPr>
          <w:rFonts w:ascii="Times New Roman" w:hAnsi="Times New Roman" w:cs="Times New Roman"/>
          <w:sz w:val="24"/>
          <w:szCs w:val="24"/>
        </w:rPr>
        <w:t xml:space="preserve">w </w:t>
      </w:r>
      <w:r w:rsidR="00144D91" w:rsidRPr="00666335">
        <w:rPr>
          <w:rFonts w:ascii="Times New Roman" w:hAnsi="Times New Roman" w:cs="Times New Roman"/>
          <w:sz w:val="24"/>
          <w:szCs w:val="24"/>
        </w:rPr>
        <w:t xml:space="preserve">omawianej grupie wiekowej </w:t>
      </w:r>
      <w:r w:rsidR="00EA1890" w:rsidRPr="00666335">
        <w:rPr>
          <w:rFonts w:ascii="Times New Roman" w:hAnsi="Times New Roman" w:cs="Times New Roman"/>
          <w:sz w:val="24"/>
          <w:szCs w:val="24"/>
        </w:rPr>
        <w:t xml:space="preserve">pracowało zanim weszło w </w:t>
      </w:r>
      <w:r w:rsidR="00144D91" w:rsidRPr="00666335">
        <w:rPr>
          <w:rFonts w:ascii="Times New Roman" w:hAnsi="Times New Roman" w:cs="Times New Roman"/>
          <w:sz w:val="24"/>
          <w:szCs w:val="24"/>
        </w:rPr>
        <w:t>stan bierności zawodowej, a 30,5</w:t>
      </w:r>
      <w:r w:rsidR="00EA1890" w:rsidRPr="00666335">
        <w:rPr>
          <w:rFonts w:ascii="Times New Roman" w:hAnsi="Times New Roman" w:cs="Times New Roman"/>
          <w:sz w:val="24"/>
          <w:szCs w:val="24"/>
        </w:rPr>
        <w:t xml:space="preserve">% biernych </w:t>
      </w:r>
      <w:r w:rsidR="00E9774D">
        <w:rPr>
          <w:rFonts w:ascii="Times New Roman" w:hAnsi="Times New Roman" w:cs="Times New Roman"/>
          <w:sz w:val="24"/>
          <w:szCs w:val="24"/>
        </w:rPr>
        <w:t xml:space="preserve">zawodowo </w:t>
      </w:r>
      <w:r w:rsidR="00EA1890" w:rsidRPr="00666335">
        <w:rPr>
          <w:rFonts w:ascii="Times New Roman" w:hAnsi="Times New Roman" w:cs="Times New Roman"/>
          <w:sz w:val="24"/>
          <w:szCs w:val="24"/>
        </w:rPr>
        <w:t>pracowało w okresie 8 lat przed badaniem.</w:t>
      </w:r>
    </w:p>
    <w:p w:rsidR="00AD3888" w:rsidRPr="00271254" w:rsidRDefault="00666335" w:rsidP="00467886">
      <w:pPr>
        <w:pStyle w:val="Legenda"/>
        <w:spacing w:after="0"/>
        <w:ind w:left="1276" w:hanging="1276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1F19BE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2.13</w:t>
      </w:r>
      <w:r w:rsidRPr="001F19BE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AD3888" w:rsidRPr="001F19BE">
        <w:rPr>
          <w:rFonts w:ascii="Times New Roman" w:hAnsi="Times New Roman" w:cs="Times New Roman"/>
          <w:color w:val="auto"/>
          <w:sz w:val="20"/>
          <w:szCs w:val="22"/>
        </w:rPr>
        <w:t>Bierni zawodowo w wieku 50-69 lat według doświadczenia zawodowego, płci i miejsca</w:t>
      </w:r>
      <w:r w:rsidR="00AD3888" w:rsidRPr="00271254">
        <w:rPr>
          <w:rFonts w:ascii="Times New Roman" w:hAnsi="Times New Roman" w:cs="Times New Roman"/>
          <w:color w:val="auto"/>
          <w:sz w:val="20"/>
          <w:szCs w:val="22"/>
        </w:rPr>
        <w:t xml:space="preserve"> zamieszkania</w:t>
      </w:r>
    </w:p>
    <w:tbl>
      <w:tblPr>
        <w:tblW w:w="908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365"/>
        <w:gridCol w:w="2165"/>
        <w:gridCol w:w="2164"/>
        <w:gridCol w:w="2165"/>
        <w:gridCol w:w="2227"/>
      </w:tblGrid>
      <w:tr w:rsidR="00AD3888" w:rsidRPr="00AD3888" w:rsidTr="0065037C">
        <w:trPr>
          <w:trHeight w:val="337"/>
        </w:trPr>
        <w:tc>
          <w:tcPr>
            <w:tcW w:w="253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4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Uprzednio pracujący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Dotychczas niepracujący</w:t>
            </w:r>
          </w:p>
        </w:tc>
      </w:tr>
      <w:tr w:rsidR="00AD3888" w:rsidRPr="00AD3888" w:rsidTr="0065037C">
        <w:trPr>
          <w:trHeight w:val="1011"/>
        </w:trPr>
        <w:tc>
          <w:tcPr>
            <w:tcW w:w="253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 w okresie</w:t>
            </w:r>
          </w:p>
          <w:p w:rsidR="00AD3888" w:rsidRP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2003-2011</w:t>
            </w:r>
          </w:p>
        </w:tc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D3888" w:rsidRPr="00AD3888" w:rsidTr="0065037C">
        <w:trPr>
          <w:trHeight w:val="337"/>
        </w:trPr>
        <w:tc>
          <w:tcPr>
            <w:tcW w:w="253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bierni zawodowo=100%</w:t>
            </w:r>
          </w:p>
        </w:tc>
      </w:tr>
      <w:tr w:rsidR="00AD3888" w:rsidRPr="00AD3888" w:rsidTr="0065037C">
        <w:trPr>
          <w:trHeight w:val="337"/>
        </w:trPr>
        <w:tc>
          <w:tcPr>
            <w:tcW w:w="2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888" w:rsidRPr="0022500E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22500E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79,6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22500E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30,5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22500E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2250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20,4</w:t>
            </w:r>
          </w:p>
        </w:tc>
      </w:tr>
      <w:tr w:rsidR="00AD3888" w:rsidRPr="00AD3888" w:rsidTr="0065037C">
        <w:trPr>
          <w:trHeight w:val="337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80,6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33,7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19,3</w:t>
            </w:r>
          </w:p>
        </w:tc>
      </w:tr>
      <w:tr w:rsidR="00AD3888" w:rsidRPr="00AD3888" w:rsidTr="0065037C">
        <w:trPr>
          <w:trHeight w:val="337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78,9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28,4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21,0</w:t>
            </w:r>
          </w:p>
        </w:tc>
      </w:tr>
      <w:tr w:rsidR="00AD3888" w:rsidRPr="00AD3888" w:rsidTr="0065037C">
        <w:trPr>
          <w:trHeight w:val="337"/>
        </w:trPr>
        <w:tc>
          <w:tcPr>
            <w:tcW w:w="2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79,9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32,2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20,0</w:t>
            </w:r>
          </w:p>
        </w:tc>
      </w:tr>
      <w:tr w:rsidR="00AD3888" w:rsidRPr="00AD3888" w:rsidTr="0065037C">
        <w:trPr>
          <w:trHeight w:val="337"/>
        </w:trPr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3888" w:rsidRPr="00AD3888" w:rsidRDefault="00AD3888" w:rsidP="00AD38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  <w:tc>
          <w:tcPr>
            <w:tcW w:w="2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78,9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27,0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888" w:rsidRPr="00AD3888" w:rsidRDefault="00AD3888" w:rsidP="00AD388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D38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21,1</w:t>
            </w:r>
          </w:p>
        </w:tc>
      </w:tr>
    </w:tbl>
    <w:p w:rsidR="00AD3888" w:rsidRPr="007C2530" w:rsidRDefault="00AD3888" w:rsidP="00AD38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60FE2" w:rsidRDefault="00060FE2" w:rsidP="00972354">
      <w:pPr>
        <w:tabs>
          <w:tab w:val="left" w:pos="1380"/>
          <w:tab w:val="left" w:pos="3525"/>
          <w:tab w:val="left" w:pos="610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50A3" w:rsidRDefault="00090D4A" w:rsidP="00972354">
      <w:pPr>
        <w:tabs>
          <w:tab w:val="left" w:pos="1380"/>
          <w:tab w:val="left" w:pos="3525"/>
          <w:tab w:val="left" w:pos="610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AD3888">
        <w:rPr>
          <w:rFonts w:ascii="Times New Roman" w:hAnsi="Times New Roman" w:cs="Times New Roman"/>
          <w:sz w:val="24"/>
          <w:szCs w:val="24"/>
        </w:rPr>
        <w:t>aj</w:t>
      </w:r>
      <w:r w:rsidR="008D50A3">
        <w:rPr>
          <w:rFonts w:ascii="Times New Roman" w:hAnsi="Times New Roman" w:cs="Times New Roman"/>
          <w:sz w:val="24"/>
          <w:szCs w:val="24"/>
        </w:rPr>
        <w:t>częstszą</w:t>
      </w:r>
      <w:r w:rsidR="00EA1890" w:rsidRPr="007D064A">
        <w:rPr>
          <w:rFonts w:ascii="Times New Roman" w:hAnsi="Times New Roman" w:cs="Times New Roman"/>
          <w:sz w:val="24"/>
          <w:szCs w:val="24"/>
        </w:rPr>
        <w:t xml:space="preserve"> przyczyną bierności zawodowej</w:t>
      </w:r>
      <w:r w:rsidR="00AD3888">
        <w:rPr>
          <w:rFonts w:ascii="Times New Roman" w:hAnsi="Times New Roman" w:cs="Times New Roman"/>
          <w:sz w:val="24"/>
          <w:szCs w:val="24"/>
        </w:rPr>
        <w:t xml:space="preserve"> w omawianej populacji było korzystanie ze </w:t>
      </w:r>
      <w:r w:rsidR="00EA1890" w:rsidRPr="007D064A">
        <w:rPr>
          <w:rFonts w:ascii="Times New Roman" w:hAnsi="Times New Roman" w:cs="Times New Roman"/>
          <w:sz w:val="24"/>
          <w:szCs w:val="24"/>
        </w:rPr>
        <w:t>świadczeń emerytalnych</w:t>
      </w:r>
      <w:r w:rsidR="00C602B3">
        <w:rPr>
          <w:rFonts w:ascii="Times New Roman" w:hAnsi="Times New Roman" w:cs="Times New Roman"/>
          <w:sz w:val="24"/>
          <w:szCs w:val="24"/>
        </w:rPr>
        <w:t>, przy czym  korzystało z nich więcej kobiet niż mężczyzn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02B3">
        <w:rPr>
          <w:rFonts w:ascii="Times New Roman" w:hAnsi="Times New Roman" w:cs="Times New Roman"/>
          <w:sz w:val="24"/>
          <w:szCs w:val="24"/>
        </w:rPr>
        <w:t xml:space="preserve"> jak również więcej mieszkańców miast niż wsi. Z kolei co piąta osoba była</w:t>
      </w:r>
      <w:r w:rsidR="00EA1890" w:rsidRPr="007D064A">
        <w:rPr>
          <w:rFonts w:ascii="Times New Roman" w:hAnsi="Times New Roman" w:cs="Times New Roman"/>
          <w:sz w:val="24"/>
          <w:szCs w:val="24"/>
        </w:rPr>
        <w:t xml:space="preserve"> biern</w:t>
      </w:r>
      <w:r w:rsidR="00C602B3">
        <w:rPr>
          <w:rFonts w:ascii="Times New Roman" w:hAnsi="Times New Roman" w:cs="Times New Roman"/>
          <w:sz w:val="24"/>
          <w:szCs w:val="24"/>
        </w:rPr>
        <w:t>a zawodowo</w:t>
      </w:r>
      <w:r w:rsidR="00EA1890" w:rsidRPr="007D0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EA1890" w:rsidRPr="007D064A">
        <w:rPr>
          <w:rFonts w:ascii="Times New Roman" w:hAnsi="Times New Roman" w:cs="Times New Roman"/>
          <w:sz w:val="24"/>
          <w:szCs w:val="24"/>
        </w:rPr>
        <w:t xml:space="preserve">z powodu </w:t>
      </w:r>
      <w:r w:rsidR="00C602B3">
        <w:rPr>
          <w:rFonts w:ascii="Times New Roman" w:hAnsi="Times New Roman" w:cs="Times New Roman"/>
          <w:sz w:val="24"/>
          <w:szCs w:val="24"/>
        </w:rPr>
        <w:t xml:space="preserve">własnej </w:t>
      </w:r>
      <w:r w:rsidR="00EA1890" w:rsidRPr="007D064A">
        <w:rPr>
          <w:rFonts w:ascii="Times New Roman" w:hAnsi="Times New Roman" w:cs="Times New Roman"/>
          <w:sz w:val="24"/>
          <w:szCs w:val="24"/>
        </w:rPr>
        <w:t>choroby, niepełnosprawności</w:t>
      </w:r>
      <w:r w:rsidR="00C602B3">
        <w:rPr>
          <w:rFonts w:ascii="Times New Roman" w:hAnsi="Times New Roman" w:cs="Times New Roman"/>
          <w:sz w:val="24"/>
          <w:szCs w:val="24"/>
        </w:rPr>
        <w:t xml:space="preserve"> – w podziale</w:t>
      </w:r>
      <w:r w:rsidR="00E9774D">
        <w:rPr>
          <w:rFonts w:ascii="Times New Roman" w:hAnsi="Times New Roman" w:cs="Times New Roman"/>
          <w:sz w:val="24"/>
          <w:szCs w:val="24"/>
        </w:rPr>
        <w:t xml:space="preserve"> na płeć problem ten dotyczył w </w:t>
      </w:r>
      <w:r w:rsidR="00C602B3">
        <w:rPr>
          <w:rFonts w:ascii="Times New Roman" w:hAnsi="Times New Roman" w:cs="Times New Roman"/>
          <w:sz w:val="24"/>
          <w:szCs w:val="24"/>
        </w:rPr>
        <w:t>większym stopniu mężczyzn, a w podziale na mie</w:t>
      </w:r>
      <w:r w:rsidR="00E9774D">
        <w:rPr>
          <w:rFonts w:ascii="Times New Roman" w:hAnsi="Times New Roman" w:cs="Times New Roman"/>
          <w:sz w:val="24"/>
          <w:szCs w:val="24"/>
        </w:rPr>
        <w:t>jsce zamieszkania występował on </w:t>
      </w:r>
      <w:r w:rsidR="00C602B3">
        <w:rPr>
          <w:rFonts w:ascii="Times New Roman" w:hAnsi="Times New Roman" w:cs="Times New Roman"/>
          <w:sz w:val="24"/>
          <w:szCs w:val="24"/>
        </w:rPr>
        <w:t>częściej wśród mieszkańców wsi</w:t>
      </w:r>
      <w:r w:rsidR="00EA1890" w:rsidRPr="007D064A">
        <w:rPr>
          <w:rFonts w:ascii="Times New Roman" w:hAnsi="Times New Roman" w:cs="Times New Roman"/>
          <w:sz w:val="24"/>
          <w:szCs w:val="24"/>
        </w:rPr>
        <w:t>.</w:t>
      </w:r>
    </w:p>
    <w:p w:rsidR="00060FE2" w:rsidRDefault="00060FE2" w:rsidP="00972354">
      <w:pPr>
        <w:tabs>
          <w:tab w:val="left" w:pos="1380"/>
          <w:tab w:val="left" w:pos="3525"/>
          <w:tab w:val="left" w:pos="610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50A3" w:rsidRPr="00271254" w:rsidRDefault="007C2530" w:rsidP="00467886">
      <w:pPr>
        <w:pStyle w:val="Legenda"/>
        <w:spacing w:after="0"/>
        <w:ind w:left="1276" w:hanging="1276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972354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2.14</w:t>
      </w:r>
      <w:r w:rsidRPr="00972354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8D50A3" w:rsidRPr="00972354">
        <w:rPr>
          <w:rFonts w:ascii="Times New Roman" w:hAnsi="Times New Roman" w:cs="Times New Roman"/>
          <w:color w:val="auto"/>
          <w:sz w:val="20"/>
          <w:szCs w:val="22"/>
        </w:rPr>
        <w:t>Bierni zawodowo w wieku 50-69 lat według wybranych przyczyn biernośc</w:t>
      </w:r>
      <w:r w:rsidRPr="00972354">
        <w:rPr>
          <w:rFonts w:ascii="Times New Roman" w:hAnsi="Times New Roman" w:cs="Times New Roman"/>
          <w:color w:val="auto"/>
          <w:sz w:val="20"/>
          <w:szCs w:val="22"/>
        </w:rPr>
        <w:t>i, płci i </w:t>
      </w:r>
      <w:r w:rsidR="008D50A3" w:rsidRPr="00972354">
        <w:rPr>
          <w:rFonts w:ascii="Times New Roman" w:hAnsi="Times New Roman" w:cs="Times New Roman"/>
          <w:color w:val="auto"/>
          <w:sz w:val="20"/>
          <w:szCs w:val="22"/>
        </w:rPr>
        <w:t>miejsca</w:t>
      </w:r>
      <w:r w:rsidR="008D50A3" w:rsidRPr="00271254">
        <w:rPr>
          <w:rFonts w:ascii="Times New Roman" w:hAnsi="Times New Roman" w:cs="Times New Roman"/>
          <w:color w:val="auto"/>
          <w:sz w:val="20"/>
          <w:szCs w:val="22"/>
        </w:rPr>
        <w:t xml:space="preserve"> zamieszkania</w:t>
      </w:r>
    </w:p>
    <w:tbl>
      <w:tblPr>
        <w:tblW w:w="9086" w:type="dxa"/>
        <w:tblInd w:w="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5"/>
        <w:gridCol w:w="2595"/>
        <w:gridCol w:w="1261"/>
        <w:gridCol w:w="1261"/>
        <w:gridCol w:w="1261"/>
        <w:gridCol w:w="1261"/>
        <w:gridCol w:w="1262"/>
      </w:tblGrid>
      <w:tr w:rsidR="008D50A3" w:rsidRPr="008D50A3" w:rsidTr="0065037C">
        <w:trPr>
          <w:trHeight w:val="300"/>
        </w:trPr>
        <w:tc>
          <w:tcPr>
            <w:tcW w:w="2780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Miasta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Wieś</w:t>
            </w:r>
          </w:p>
        </w:tc>
      </w:tr>
      <w:tr w:rsidR="008D50A3" w:rsidRPr="008D50A3" w:rsidTr="0065037C">
        <w:trPr>
          <w:trHeight w:val="300"/>
        </w:trPr>
        <w:tc>
          <w:tcPr>
            <w:tcW w:w="2780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%</w:t>
            </w:r>
          </w:p>
        </w:tc>
      </w:tr>
      <w:tr w:rsidR="008D50A3" w:rsidRPr="008D50A3" w:rsidTr="0065037C">
        <w:trPr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100,0</w:t>
            </w:r>
          </w:p>
        </w:tc>
      </w:tr>
      <w:tr w:rsidR="008D50A3" w:rsidRPr="008D50A3" w:rsidTr="0065037C">
        <w:trPr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w tym: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D50A3" w:rsidRPr="008D50A3" w:rsidTr="0065037C">
        <w:trPr>
          <w:trHeight w:val="48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powodu własnej choroby, niepełnosprawności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24,2</w:t>
            </w:r>
          </w:p>
        </w:tc>
      </w:tr>
      <w:tr w:rsidR="008D50A3" w:rsidRPr="008D50A3" w:rsidTr="0065037C">
        <w:trPr>
          <w:trHeight w:val="48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innych powodów osobistych lub rodzinnych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3,7</w:t>
            </w:r>
          </w:p>
        </w:tc>
      </w:tr>
      <w:tr w:rsidR="008D50A3" w:rsidRPr="008D50A3" w:rsidTr="0065037C">
        <w:trPr>
          <w:trHeight w:val="30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jestem na emeryturze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64,1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62,5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55,0</w:t>
            </w:r>
          </w:p>
        </w:tc>
      </w:tr>
      <w:tr w:rsidR="008D50A3" w:rsidRPr="008D50A3" w:rsidTr="0065037C">
        <w:trPr>
          <w:trHeight w:val="300"/>
        </w:trPr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0A3" w:rsidRPr="008D50A3" w:rsidRDefault="008D50A3" w:rsidP="008D5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innych przyczyn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50A3" w:rsidRPr="008D50A3" w:rsidRDefault="008D50A3" w:rsidP="008D50A3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50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12,0</w:t>
            </w:r>
          </w:p>
        </w:tc>
      </w:tr>
    </w:tbl>
    <w:p w:rsidR="008D50A3" w:rsidRPr="007C2530" w:rsidRDefault="008D50A3" w:rsidP="008D50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60FE2" w:rsidRDefault="00060FE2" w:rsidP="009723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1890" w:rsidRDefault="006B46DD" w:rsidP="009723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Rozpatrując przyczyny bierności według województw wa</w:t>
      </w:r>
      <w:r w:rsidR="009738D9">
        <w:rPr>
          <w:rFonts w:ascii="Times New Roman" w:hAnsi="Times New Roman" w:cs="Times New Roman"/>
          <w:sz w:val="24"/>
          <w:szCs w:val="24"/>
        </w:rPr>
        <w:t>rto wskazać, że </w:t>
      </w:r>
      <w:r>
        <w:rPr>
          <w:rFonts w:ascii="Times New Roman" w:hAnsi="Times New Roman" w:cs="Times New Roman"/>
          <w:sz w:val="24"/>
          <w:szCs w:val="24"/>
        </w:rPr>
        <w:t>województwem, w którym przyczyna bierności zawodowej z powodu pr</w:t>
      </w:r>
      <w:r w:rsidR="009738D9">
        <w:rPr>
          <w:rFonts w:ascii="Times New Roman" w:hAnsi="Times New Roman" w:cs="Times New Roman"/>
          <w:sz w:val="24"/>
          <w:szCs w:val="24"/>
        </w:rPr>
        <w:t>zejścia na </w:t>
      </w:r>
      <w:r>
        <w:rPr>
          <w:rFonts w:ascii="Times New Roman" w:hAnsi="Times New Roman" w:cs="Times New Roman"/>
          <w:sz w:val="24"/>
          <w:szCs w:val="24"/>
        </w:rPr>
        <w:t>emeryturę miała największy udział było wojewód</w:t>
      </w:r>
      <w:r w:rsidR="009738D9">
        <w:rPr>
          <w:rFonts w:ascii="Times New Roman" w:hAnsi="Times New Roman" w:cs="Times New Roman"/>
          <w:sz w:val="24"/>
          <w:szCs w:val="24"/>
        </w:rPr>
        <w:t xml:space="preserve">ztwo opolskie, gdzie prawie </w:t>
      </w:r>
      <w:r w:rsidR="009738D9">
        <w:rPr>
          <w:rFonts w:ascii="Times New Roman" w:hAnsi="Times New Roman" w:cs="Times New Roman"/>
          <w:sz w:val="24"/>
          <w:szCs w:val="24"/>
        </w:rPr>
        <w:lastRenderedPageBreak/>
        <w:t>2/3 </w:t>
      </w:r>
      <w:r>
        <w:rPr>
          <w:rFonts w:ascii="Times New Roman" w:hAnsi="Times New Roman" w:cs="Times New Roman"/>
          <w:sz w:val="24"/>
          <w:szCs w:val="24"/>
        </w:rPr>
        <w:t>populacji biernych zawodowo w wieku 50-69 lat to emeryci. Najmniejszy udział tej przyczyny bierności zawodowej wystąpił w województwie warmińsko-mazurskim –</w:t>
      </w:r>
      <w:r w:rsidR="009738D9">
        <w:rPr>
          <w:rFonts w:ascii="Times New Roman" w:hAnsi="Times New Roman" w:cs="Times New Roman"/>
          <w:sz w:val="24"/>
          <w:szCs w:val="24"/>
        </w:rPr>
        <w:t xml:space="preserve"> o 9,9 p.</w:t>
      </w:r>
      <w:r w:rsidR="003A1579">
        <w:rPr>
          <w:rFonts w:ascii="Times New Roman" w:hAnsi="Times New Roman" w:cs="Times New Roman"/>
          <w:sz w:val="24"/>
          <w:szCs w:val="24"/>
        </w:rPr>
        <w:t> </w:t>
      </w:r>
      <w:r w:rsidR="009738D9">
        <w:rPr>
          <w:rFonts w:ascii="Times New Roman" w:hAnsi="Times New Roman" w:cs="Times New Roman"/>
          <w:sz w:val="24"/>
          <w:szCs w:val="24"/>
        </w:rPr>
        <w:t>proc. mniej niż w </w:t>
      </w:r>
      <w:r>
        <w:rPr>
          <w:rFonts w:ascii="Times New Roman" w:hAnsi="Times New Roman" w:cs="Times New Roman"/>
          <w:sz w:val="24"/>
          <w:szCs w:val="24"/>
        </w:rPr>
        <w:t>województwie opolskim.</w:t>
      </w:r>
      <w:r w:rsidR="009738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890" w:rsidRPr="005D629B" w:rsidRDefault="00791B5D" w:rsidP="005D629B">
      <w:pPr>
        <w:pStyle w:val="Legenda"/>
        <w:spacing w:after="120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5D629B">
        <w:rPr>
          <w:rFonts w:ascii="Times New Roman" w:hAnsi="Times New Roman" w:cs="Times New Roman"/>
          <w:color w:val="auto"/>
          <w:sz w:val="20"/>
          <w:szCs w:val="22"/>
        </w:rPr>
        <w:t xml:space="preserve">Tabela </w:t>
      </w:r>
      <w:r w:rsidR="00467886">
        <w:rPr>
          <w:rFonts w:ascii="Times New Roman" w:hAnsi="Times New Roman" w:cs="Times New Roman"/>
          <w:color w:val="auto"/>
          <w:sz w:val="20"/>
          <w:szCs w:val="22"/>
        </w:rPr>
        <w:t>2.15</w:t>
      </w:r>
      <w:r w:rsidRPr="005D629B">
        <w:rPr>
          <w:rFonts w:ascii="Times New Roman" w:hAnsi="Times New Roman" w:cs="Times New Roman"/>
          <w:color w:val="auto"/>
          <w:sz w:val="20"/>
          <w:szCs w:val="22"/>
        </w:rPr>
        <w:t xml:space="preserve">. </w:t>
      </w:r>
      <w:r w:rsidR="00EA1890" w:rsidRPr="005D629B">
        <w:rPr>
          <w:rFonts w:ascii="Times New Roman" w:hAnsi="Times New Roman" w:cs="Times New Roman"/>
          <w:color w:val="auto"/>
          <w:sz w:val="20"/>
          <w:szCs w:val="22"/>
        </w:rPr>
        <w:t>Przyczyny bierności  zawodowej w grupie osób 50 -69 lat według województw</w:t>
      </w:r>
    </w:p>
    <w:tbl>
      <w:tblPr>
        <w:tblW w:w="894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615"/>
        <w:gridCol w:w="1265"/>
        <w:gridCol w:w="1265"/>
        <w:gridCol w:w="1265"/>
        <w:gridCol w:w="1265"/>
        <w:gridCol w:w="1265"/>
      </w:tblGrid>
      <w:tr w:rsidR="006D3880" w:rsidRPr="006D3880" w:rsidTr="009738D9">
        <w:trPr>
          <w:trHeight w:val="308"/>
        </w:trPr>
        <w:tc>
          <w:tcPr>
            <w:tcW w:w="261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  <w:r w:rsidR="002250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gółem</w:t>
            </w:r>
          </w:p>
        </w:tc>
        <w:tc>
          <w:tcPr>
            <w:tcW w:w="5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Przyczyny bierności zawodowej  </w:t>
            </w:r>
          </w:p>
        </w:tc>
      </w:tr>
      <w:tr w:rsidR="006D3880" w:rsidRPr="006D3880" w:rsidTr="009738D9">
        <w:trPr>
          <w:trHeight w:val="308"/>
        </w:trPr>
        <w:tc>
          <w:tcPr>
            <w:tcW w:w="26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</w:t>
            </w:r>
          </w:p>
        </w:tc>
      </w:tr>
      <w:tr w:rsidR="006D3880" w:rsidRPr="006D3880" w:rsidTr="006D3880">
        <w:trPr>
          <w:trHeight w:val="1231"/>
        </w:trPr>
        <w:tc>
          <w:tcPr>
            <w:tcW w:w="26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powodu własnej choroby, niepełno-sprawności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innych powodów osobistych lub rodzinnych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jestem na emeryturze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innych przyczyn</w:t>
            </w:r>
          </w:p>
        </w:tc>
      </w:tr>
      <w:tr w:rsidR="006D3880" w:rsidRPr="006D3880" w:rsidTr="009738D9">
        <w:trPr>
          <w:trHeight w:val="308"/>
        </w:trPr>
        <w:tc>
          <w:tcPr>
            <w:tcW w:w="26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 tys.</w:t>
            </w:r>
          </w:p>
        </w:tc>
        <w:tc>
          <w:tcPr>
            <w:tcW w:w="5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490C65" w:rsidP="006D388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6D3880"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5085,1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20,3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59,9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11,7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Dolnośląskie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412,2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12,7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Kujawsko-pomorskie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290,8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11,5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Lubelskie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278,8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8D7CDF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7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8D7CDF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7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FD7A1F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7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7,2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Lubuskie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140,6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56,3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Łódzkie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370,1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11,7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Małopolskie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389,2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22,5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10,4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Mazowieckie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631,6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12,7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Opolskie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8D7CDF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7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8D7CDF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D7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14,0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239,0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22,6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11,3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Podlaskie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137,3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2,7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9,9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Pomorskie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287,9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20,8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12,1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Śląskie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719,9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11,9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Świętokrzyskie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174,5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61,7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12,7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Warmińsko-mazurskie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189,2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2,9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55,5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13,2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Wielkopolskie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449,7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3,4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56,5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10,6</w:t>
            </w:r>
          </w:p>
        </w:tc>
      </w:tr>
      <w:tr w:rsidR="006D3880" w:rsidRPr="006D3880" w:rsidTr="006D3880">
        <w:trPr>
          <w:trHeight w:val="308"/>
        </w:trPr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Zachodniopomorskie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3880" w:rsidRPr="006D3880" w:rsidRDefault="006D3880" w:rsidP="006D3880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D38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14,2</w:t>
            </w:r>
          </w:p>
        </w:tc>
      </w:tr>
    </w:tbl>
    <w:p w:rsidR="00060FE2" w:rsidRDefault="00060FE2" w:rsidP="005D629B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8D9" w:rsidRPr="000F5413" w:rsidRDefault="00490C65" w:rsidP="005D629B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Własna choroba lub </w:t>
      </w:r>
      <w:r w:rsidR="00C45DF9" w:rsidRPr="00260448">
        <w:rPr>
          <w:rFonts w:ascii="Times New Roman" w:hAnsi="Times New Roman" w:cs="Times New Roman"/>
          <w:sz w:val="24"/>
          <w:szCs w:val="24"/>
        </w:rPr>
        <w:t>niepełnosprawnoś</w:t>
      </w:r>
      <w:r w:rsidR="00260448" w:rsidRPr="00260448">
        <w:rPr>
          <w:rFonts w:ascii="Times New Roman" w:hAnsi="Times New Roman" w:cs="Times New Roman"/>
          <w:sz w:val="24"/>
          <w:szCs w:val="24"/>
        </w:rPr>
        <w:t xml:space="preserve">ć przyczyniały się do bierności zawodowej </w:t>
      </w:r>
      <w:r w:rsidR="00260448" w:rsidRPr="00260448">
        <w:rPr>
          <w:rFonts w:ascii="Times New Roman" w:hAnsi="Times New Roman" w:cs="Times New Roman"/>
          <w:sz w:val="24"/>
          <w:szCs w:val="24"/>
        </w:rPr>
        <w:br/>
        <w:t xml:space="preserve">w największym stopniu w </w:t>
      </w:r>
      <w:r w:rsidR="009738D9" w:rsidRPr="00260448">
        <w:rPr>
          <w:rFonts w:ascii="Times New Roman" w:hAnsi="Times New Roman" w:cs="Times New Roman"/>
          <w:sz w:val="24"/>
          <w:szCs w:val="24"/>
        </w:rPr>
        <w:t>woje</w:t>
      </w:r>
      <w:r w:rsidR="00260448" w:rsidRPr="00260448">
        <w:rPr>
          <w:rFonts w:ascii="Times New Roman" w:hAnsi="Times New Roman" w:cs="Times New Roman"/>
          <w:sz w:val="24"/>
          <w:szCs w:val="24"/>
        </w:rPr>
        <w:t>wództwach lubelskim i</w:t>
      </w:r>
      <w:r>
        <w:rPr>
          <w:rFonts w:ascii="Times New Roman" w:hAnsi="Times New Roman" w:cs="Times New Roman"/>
          <w:sz w:val="24"/>
          <w:szCs w:val="24"/>
        </w:rPr>
        <w:t xml:space="preserve"> lubuskim, a w najmniejszym stopniu w województwie opolskim.</w:t>
      </w:r>
      <w:r w:rsidR="009738D9" w:rsidRPr="002604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438" w:rsidRPr="008333A7" w:rsidRDefault="00725438" w:rsidP="005D629B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333A7">
        <w:rPr>
          <w:rFonts w:ascii="Times New Roman" w:hAnsi="Times New Roman" w:cs="Times New Roman"/>
          <w:b/>
          <w:sz w:val="28"/>
          <w:szCs w:val="24"/>
        </w:rPr>
        <w:t>Podsumowanie</w:t>
      </w:r>
    </w:p>
    <w:p w:rsidR="00090D4A" w:rsidRDefault="00090D4A" w:rsidP="005D62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P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opulacja osób w wieku 50-69 lat charakteryzowała się wysokim udziałem biernych zawodowo w stosunku do pracujących. </w:t>
      </w:r>
      <w:r>
        <w:rPr>
          <w:rFonts w:ascii="Times New Roman" w:eastAsia="TimesNewRoman" w:hAnsi="Times New Roman" w:cs="Times New Roman"/>
          <w:sz w:val="24"/>
          <w:szCs w:val="24"/>
        </w:rPr>
        <w:t>W rozdziale prz</w:t>
      </w:r>
      <w:r w:rsidR="00E9774D">
        <w:rPr>
          <w:rFonts w:ascii="Times New Roman" w:eastAsia="TimesNewRoman" w:hAnsi="Times New Roman" w:cs="Times New Roman"/>
          <w:sz w:val="24"/>
          <w:szCs w:val="24"/>
        </w:rPr>
        <w:t>edstawiono dane wskazujące, że </w:t>
      </w:r>
      <w:r>
        <w:rPr>
          <w:rFonts w:ascii="Times New Roman" w:eastAsia="TimesNewRoman" w:hAnsi="Times New Roman" w:cs="Times New Roman"/>
          <w:sz w:val="24"/>
          <w:szCs w:val="24"/>
        </w:rPr>
        <w:t>w</w:t>
      </w:r>
      <w:r w:rsidR="00E9774D">
        <w:rPr>
          <w:rFonts w:ascii="Times New Roman" w:eastAsia="TimesNewRoman" w:hAnsi="Times New Roman" w:cs="Times New Roman"/>
          <w:sz w:val="24"/>
          <w:szCs w:val="24"/>
        </w:rPr>
        <w:t> 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tym przedziale wiekowym następuje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relatywnie szybka 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>dezaktyw</w:t>
      </w:r>
      <w:r>
        <w:rPr>
          <w:rFonts w:ascii="Times New Roman" w:eastAsia="TimesNewRoman" w:hAnsi="Times New Roman" w:cs="Times New Roman"/>
          <w:sz w:val="24"/>
          <w:szCs w:val="24"/>
        </w:rPr>
        <w:t>izacja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 zawodowa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090D4A" w:rsidRDefault="00090D4A" w:rsidP="005D62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W analizowanej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 grupie wiekowej osoby pracujące są  lepiej wykształcone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od osób biernych zawodowo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E9774D">
        <w:rPr>
          <w:rFonts w:ascii="Times New Roman" w:eastAsia="TimesNewRoman" w:hAnsi="Times New Roman" w:cs="Times New Roman"/>
          <w:sz w:val="24"/>
          <w:szCs w:val="24"/>
        </w:rPr>
        <w:t>Niski p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oziom wykształcenia </w:t>
      </w:r>
      <w:r>
        <w:rPr>
          <w:rFonts w:ascii="Times New Roman" w:eastAsia="TimesNewRoman" w:hAnsi="Times New Roman" w:cs="Times New Roman"/>
          <w:sz w:val="24"/>
          <w:szCs w:val="24"/>
        </w:rPr>
        <w:t>ma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E507FB">
        <w:rPr>
          <w:rFonts w:ascii="Times New Roman" w:eastAsia="TimesNewRoman" w:hAnsi="Times New Roman" w:cs="Times New Roman"/>
          <w:sz w:val="24"/>
          <w:szCs w:val="24"/>
        </w:rPr>
        <w:t xml:space="preserve">zatem relatywnie silny </w:t>
      </w:r>
      <w:r w:rsidR="00E9774D">
        <w:rPr>
          <w:rFonts w:ascii="Times New Roman" w:eastAsia="TimesNewRoman" w:hAnsi="Times New Roman" w:cs="Times New Roman"/>
          <w:sz w:val="24"/>
          <w:szCs w:val="24"/>
        </w:rPr>
        <w:t xml:space="preserve">wpływ </w:t>
      </w:r>
      <w:r w:rsidR="00E9774D">
        <w:rPr>
          <w:rFonts w:ascii="Times New Roman" w:eastAsia="TimesNewRoman" w:hAnsi="Times New Roman" w:cs="Times New Roman"/>
          <w:sz w:val="24"/>
          <w:szCs w:val="24"/>
        </w:rPr>
        <w:lastRenderedPageBreak/>
        <w:t>na 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szybszą dezaktyw</w:t>
      </w:r>
      <w:r>
        <w:rPr>
          <w:rFonts w:ascii="Times New Roman" w:eastAsia="TimesNewRoman" w:hAnsi="Times New Roman" w:cs="Times New Roman"/>
          <w:sz w:val="24"/>
          <w:szCs w:val="24"/>
        </w:rPr>
        <w:t>izację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 zawodową. 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Wśród ludności </w:t>
      </w:r>
      <w:r w:rsidR="00E9774D">
        <w:rPr>
          <w:rFonts w:ascii="Times New Roman" w:eastAsia="TimesNewRoman" w:hAnsi="Times New Roman" w:cs="Times New Roman"/>
          <w:sz w:val="24"/>
          <w:szCs w:val="24"/>
        </w:rPr>
        <w:t>aktywnej zawodowo w wieku 50</w:t>
      </w:r>
      <w:r w:rsidR="00E9774D">
        <w:rPr>
          <w:rFonts w:ascii="Times New Roman" w:eastAsia="TimesNewRoman" w:hAnsi="Times New Roman" w:cs="Times New Roman"/>
          <w:sz w:val="24"/>
          <w:szCs w:val="24"/>
        </w:rPr>
        <w:noBreakHyphen/>
        <w:t>69 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lat 9 na 10 osób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było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 osobami pracującymi, natomiast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co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dziesiąta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była </w:t>
      </w:r>
      <w:r w:rsidR="00725438" w:rsidRPr="009760E5">
        <w:rPr>
          <w:rFonts w:ascii="Times New Roman" w:eastAsia="TimesNewRoman" w:hAnsi="Times New Roman" w:cs="Times New Roman"/>
          <w:sz w:val="24"/>
          <w:szCs w:val="24"/>
        </w:rPr>
        <w:t xml:space="preserve">osobą bezrobotną.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Stopa bezrobocia w tej grupie wiekowej była o 2,2 p.</w:t>
      </w:r>
      <w:r w:rsidR="003A1579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proc. niższa od stopy bezrobocia dla ludności ogółem w wieku 15 lat i więcej, a wśród osób z wykształceniem wyższym w omawianej grupie wiekowej stopa bezrobocia wynosiła tylko 3,3%.</w:t>
      </w:r>
      <w:r w:rsidR="00E507F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W populacji</w:t>
      </w:r>
      <w:r w:rsidR="00E507FB">
        <w:rPr>
          <w:rFonts w:ascii="Times New Roman" w:eastAsia="TimesNewRoman" w:hAnsi="Times New Roman" w:cs="Times New Roman"/>
          <w:sz w:val="24"/>
          <w:szCs w:val="24"/>
        </w:rPr>
        <w:t xml:space="preserve"> biernych zawodowo 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>zdecydowana większość uprzednio pracowała, natomiast co 5 osoba nie posiadała doświadczenia zawodowego. Wśród biern</w:t>
      </w:r>
      <w:r w:rsidR="001142F6">
        <w:rPr>
          <w:rFonts w:ascii="Times New Roman" w:eastAsia="TimesNewRoman" w:hAnsi="Times New Roman" w:cs="Times New Roman"/>
          <w:sz w:val="24"/>
          <w:szCs w:val="24"/>
        </w:rPr>
        <w:t>ych zawodowo przeważały osoby z </w:t>
      </w:r>
      <w:r w:rsidR="00725438">
        <w:rPr>
          <w:rFonts w:ascii="Times New Roman" w:eastAsia="TimesNewRoman" w:hAnsi="Times New Roman" w:cs="Times New Roman"/>
          <w:sz w:val="24"/>
          <w:szCs w:val="24"/>
        </w:rPr>
        <w:t xml:space="preserve">wykształceniem zasadniczym zawodowym i niższym. </w:t>
      </w:r>
    </w:p>
    <w:p w:rsidR="00725438" w:rsidRDefault="00725438" w:rsidP="005D629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Mając na uwadze proces starzenia się społeczeństwa oraz niski wskaźnik urodzeń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br/>
      </w:r>
      <w:r>
        <w:rPr>
          <w:rFonts w:ascii="Times New Roman" w:eastAsia="TimesNewRoman" w:hAnsi="Times New Roman" w:cs="Times New Roman"/>
          <w:sz w:val="24"/>
          <w:szCs w:val="24"/>
        </w:rPr>
        <w:t>i w związku z tym, mniejszą ilość osób młodych wchodzących na rynek pracy w przyszłości, należy pod</w:t>
      </w:r>
      <w:r w:rsidR="00090D4A">
        <w:rPr>
          <w:rFonts w:ascii="Times New Roman" w:eastAsia="TimesNew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>j</w:t>
      </w:r>
      <w:r w:rsidR="00090D4A">
        <w:rPr>
          <w:rFonts w:ascii="Times New Roman" w:eastAsia="TimesNewRoman" w:hAnsi="Times New Roman" w:cs="Times New Roman"/>
          <w:sz w:val="24"/>
          <w:szCs w:val="24"/>
        </w:rPr>
        <w:t>mować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działania w celu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t>tworzenia bodźców i zachęt dla</w:t>
      </w:r>
      <w:r>
        <w:rPr>
          <w:rFonts w:ascii="Times New Roman" w:hAnsi="Times New Roman" w:cs="Times New Roman"/>
          <w:sz w:val="24"/>
          <w:szCs w:val="24"/>
        </w:rPr>
        <w:t xml:space="preserve"> osób starszych</w:t>
      </w:r>
      <w:r w:rsidR="00CA6AC8">
        <w:rPr>
          <w:rFonts w:ascii="Times New Roman" w:hAnsi="Times New Roman" w:cs="Times New Roman"/>
          <w:sz w:val="24"/>
          <w:szCs w:val="24"/>
        </w:rPr>
        <w:t xml:space="preserve"> </w:t>
      </w:r>
      <w:r w:rsidR="00490C65">
        <w:rPr>
          <w:rFonts w:ascii="Times New Roman" w:hAnsi="Times New Roman" w:cs="Times New Roman"/>
          <w:sz w:val="24"/>
          <w:szCs w:val="24"/>
        </w:rPr>
        <w:t>do </w:t>
      </w:r>
      <w:r w:rsidR="00090D4A">
        <w:rPr>
          <w:rFonts w:ascii="Times New Roman" w:hAnsi="Times New Roman" w:cs="Times New Roman"/>
          <w:sz w:val="24"/>
          <w:szCs w:val="24"/>
        </w:rPr>
        <w:t xml:space="preserve">pozostania aktywnymi </w:t>
      </w:r>
      <w:r w:rsidR="00CA6AC8">
        <w:rPr>
          <w:rFonts w:ascii="Times New Roman" w:hAnsi="Times New Roman" w:cs="Times New Roman"/>
          <w:sz w:val="24"/>
          <w:szCs w:val="24"/>
        </w:rPr>
        <w:t>na </w:t>
      </w:r>
      <w:r w:rsidRPr="000850FA">
        <w:rPr>
          <w:rFonts w:ascii="Times New Roman" w:hAnsi="Times New Roman" w:cs="Times New Roman"/>
          <w:sz w:val="24"/>
          <w:szCs w:val="24"/>
        </w:rPr>
        <w:t>rynku pracy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t>G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rupa osób w wieku 50-69 lat stanowi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t>bowiem znaczny zasób siły roboczej 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t>długim doświadczeniu zawodowym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090802">
        <w:rPr>
          <w:rFonts w:ascii="Times New Roman" w:eastAsia="TimesNewRoman" w:hAnsi="Times New Roman" w:cs="Times New Roman"/>
          <w:sz w:val="24"/>
          <w:szCs w:val="24"/>
        </w:rPr>
        <w:t xml:space="preserve">Oferty szkoleniowe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br/>
      </w:r>
      <w:r w:rsidR="00090802">
        <w:rPr>
          <w:rFonts w:ascii="Times New Roman" w:eastAsia="TimesNewRoman" w:hAnsi="Times New Roman" w:cs="Times New Roman"/>
          <w:sz w:val="24"/>
          <w:szCs w:val="24"/>
        </w:rPr>
        <w:t xml:space="preserve">i kursy wspomagające przekwalifikowanie mogą wpłynąć na </w:t>
      </w:r>
      <w:r>
        <w:rPr>
          <w:rFonts w:ascii="Times New Roman" w:eastAsia="TimesNewRoman" w:hAnsi="Times New Roman" w:cs="Times New Roman"/>
          <w:sz w:val="24"/>
          <w:szCs w:val="24"/>
        </w:rPr>
        <w:t>podniesien</w:t>
      </w:r>
      <w:r w:rsidR="00090802">
        <w:rPr>
          <w:rFonts w:ascii="Times New Roman" w:eastAsia="TimesNewRoman" w:hAnsi="Times New Roman" w:cs="Times New Roman"/>
          <w:sz w:val="24"/>
          <w:szCs w:val="24"/>
        </w:rPr>
        <w:t>ie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kompetencji </w:t>
      </w:r>
      <w:r w:rsidR="00090D4A">
        <w:rPr>
          <w:rFonts w:ascii="Times New Roman" w:eastAsia="TimesNewRoman" w:hAnsi="Times New Roman" w:cs="Times New Roman"/>
          <w:sz w:val="24"/>
          <w:szCs w:val="24"/>
        </w:rPr>
        <w:br/>
      </w:r>
      <w:r>
        <w:rPr>
          <w:rFonts w:ascii="Times New Roman" w:eastAsia="TimesNewRoman" w:hAnsi="Times New Roman" w:cs="Times New Roman"/>
          <w:sz w:val="24"/>
          <w:szCs w:val="24"/>
        </w:rPr>
        <w:t>i zwiększeni</w:t>
      </w:r>
      <w:r w:rsidR="00090802">
        <w:rPr>
          <w:rFonts w:ascii="Times New Roman" w:eastAsia="TimesNew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atrakcyjności tej populacji</w:t>
      </w:r>
      <w:r w:rsidR="00090802">
        <w:rPr>
          <w:rFonts w:ascii="Times New Roman" w:eastAsia="TimesNewRoman" w:hAnsi="Times New Roman" w:cs="Times New Roman"/>
          <w:sz w:val="24"/>
          <w:szCs w:val="24"/>
        </w:rPr>
        <w:t xml:space="preserve"> na rynku pracy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. </w:t>
      </w:r>
    </w:p>
    <w:p w:rsidR="00E678CF" w:rsidRDefault="00E678CF" w:rsidP="00725438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E678CF" w:rsidRDefault="00E678CF" w:rsidP="00725438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sectPr w:rsidR="00E678CF" w:rsidSect="00962AD9">
      <w:footerReference w:type="even" r:id="rId22"/>
      <w:footerReference w:type="default" r:id="rId23"/>
      <w:pgSz w:w="11906" w:h="16838"/>
      <w:pgMar w:top="1417" w:right="1417" w:bottom="1417" w:left="1417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D06" w:rsidRDefault="00684D06" w:rsidP="009A685B">
      <w:pPr>
        <w:spacing w:after="0"/>
      </w:pPr>
      <w:r>
        <w:separator/>
      </w:r>
    </w:p>
  </w:endnote>
  <w:endnote w:type="continuationSeparator" w:id="0">
    <w:p w:rsidR="00684D06" w:rsidRDefault="00684D06" w:rsidP="009A685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3144"/>
      <w:docPartObj>
        <w:docPartGallery w:val="Page Numbers (Bottom of Page)"/>
        <w:docPartUnique/>
      </w:docPartObj>
    </w:sdtPr>
    <w:sdtContent>
      <w:p w:rsidR="002D2B5A" w:rsidRDefault="00D6678D">
        <w:pPr>
          <w:pStyle w:val="Stopka"/>
        </w:pPr>
        <w:r w:rsidRPr="006503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5037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503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037C">
          <w:rPr>
            <w:rFonts w:ascii="Times New Roman" w:hAnsi="Times New Roman" w:cs="Times New Roman"/>
            <w:noProof/>
            <w:sz w:val="20"/>
            <w:szCs w:val="20"/>
          </w:rPr>
          <w:t>82</w:t>
        </w:r>
        <w:r w:rsidRPr="006503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D2B5A" w:rsidRDefault="002D2B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6673142"/>
      <w:docPartObj>
        <w:docPartGallery w:val="Page Numbers (Bottom of Page)"/>
        <w:docPartUnique/>
      </w:docPartObj>
    </w:sdtPr>
    <w:sdtContent>
      <w:p w:rsidR="002D2B5A" w:rsidRPr="0065037C" w:rsidRDefault="00D6678D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6503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5037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503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037C">
          <w:rPr>
            <w:rFonts w:ascii="Times New Roman" w:hAnsi="Times New Roman" w:cs="Times New Roman"/>
            <w:noProof/>
            <w:sz w:val="20"/>
            <w:szCs w:val="20"/>
          </w:rPr>
          <w:t>83</w:t>
        </w:r>
        <w:r w:rsidRPr="006503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D2B5A" w:rsidRDefault="002D2B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D06" w:rsidRDefault="00684D06" w:rsidP="009A685B">
      <w:pPr>
        <w:spacing w:after="0"/>
      </w:pPr>
      <w:r>
        <w:separator/>
      </w:r>
    </w:p>
  </w:footnote>
  <w:footnote w:type="continuationSeparator" w:id="0">
    <w:p w:rsidR="00684D06" w:rsidRDefault="00684D06" w:rsidP="009A685B">
      <w:pPr>
        <w:spacing w:after="0"/>
      </w:pPr>
      <w:r>
        <w:continuationSeparator/>
      </w:r>
    </w:p>
  </w:footnote>
  <w:footnote w:id="1">
    <w:p w:rsidR="002D2B5A" w:rsidRPr="00260448" w:rsidRDefault="002D2B5A">
      <w:pPr>
        <w:pStyle w:val="Tekstprzypisudolnego"/>
        <w:rPr>
          <w:rFonts w:ascii="Times New Roman" w:hAnsi="Times New Roman" w:cs="Times New Roman"/>
        </w:rPr>
      </w:pPr>
      <w:r w:rsidRPr="00260448">
        <w:rPr>
          <w:rStyle w:val="Odwoanieprzypisudolnego"/>
          <w:rFonts w:ascii="Times New Roman" w:hAnsi="Times New Roman" w:cs="Times New Roman"/>
        </w:rPr>
        <w:footnoteRef/>
      </w:r>
      <w:r w:rsidRPr="00260448">
        <w:rPr>
          <w:rFonts w:ascii="Times New Roman" w:hAnsi="Times New Roman" w:cs="Times New Roman"/>
        </w:rPr>
        <w:t xml:space="preserve"> Źródło: GUS, Bank Danych Lokalnych</w:t>
      </w:r>
    </w:p>
  </w:footnote>
  <w:footnote w:id="2">
    <w:p w:rsidR="002D2B5A" w:rsidRPr="006B695F" w:rsidRDefault="002D2B5A">
      <w:pPr>
        <w:pStyle w:val="Tekstprzypisudolnego"/>
        <w:rPr>
          <w:rFonts w:ascii="Times New Roman" w:hAnsi="Times New Roman" w:cs="Times New Roman"/>
        </w:rPr>
      </w:pPr>
      <w:r w:rsidRPr="006B695F">
        <w:rPr>
          <w:rStyle w:val="Odwoanieprzypisudolnego"/>
          <w:rFonts w:ascii="Times New Roman" w:hAnsi="Times New Roman" w:cs="Times New Roman"/>
        </w:rPr>
        <w:footnoteRef/>
      </w:r>
      <w:r w:rsidRPr="006B695F">
        <w:rPr>
          <w:rFonts w:ascii="Times New Roman" w:hAnsi="Times New Roman" w:cs="Times New Roman"/>
        </w:rPr>
        <w:t xml:space="preserve"> Według NSP 2011</w:t>
      </w:r>
      <w:r>
        <w:rPr>
          <w:rFonts w:ascii="Times New Roman" w:hAnsi="Times New Roman" w:cs="Times New Roman"/>
        </w:rPr>
        <w:t xml:space="preserve"> aktywni zawodowo stanowili 2,8% osób w wieku 70 lat i więcej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1C4"/>
    <w:rsid w:val="00010CC2"/>
    <w:rsid w:val="00022DC1"/>
    <w:rsid w:val="00025385"/>
    <w:rsid w:val="000274B4"/>
    <w:rsid w:val="0003196E"/>
    <w:rsid w:val="000444B9"/>
    <w:rsid w:val="000470CA"/>
    <w:rsid w:val="00051DA9"/>
    <w:rsid w:val="00052586"/>
    <w:rsid w:val="00060FE2"/>
    <w:rsid w:val="00067043"/>
    <w:rsid w:val="00067284"/>
    <w:rsid w:val="00070960"/>
    <w:rsid w:val="00090802"/>
    <w:rsid w:val="00090D4A"/>
    <w:rsid w:val="000A16A6"/>
    <w:rsid w:val="000C06BF"/>
    <w:rsid w:val="000C3640"/>
    <w:rsid w:val="000D29A7"/>
    <w:rsid w:val="000D3989"/>
    <w:rsid w:val="000D6F6F"/>
    <w:rsid w:val="000F45EE"/>
    <w:rsid w:val="00100647"/>
    <w:rsid w:val="001027F1"/>
    <w:rsid w:val="001036BF"/>
    <w:rsid w:val="00106ED6"/>
    <w:rsid w:val="001142F6"/>
    <w:rsid w:val="00124C2B"/>
    <w:rsid w:val="00130764"/>
    <w:rsid w:val="00132587"/>
    <w:rsid w:val="00140400"/>
    <w:rsid w:val="00144D91"/>
    <w:rsid w:val="00161F10"/>
    <w:rsid w:val="0016212B"/>
    <w:rsid w:val="00177805"/>
    <w:rsid w:val="0019647C"/>
    <w:rsid w:val="001A0F68"/>
    <w:rsid w:val="001A2BB1"/>
    <w:rsid w:val="001A2DFB"/>
    <w:rsid w:val="001A58B1"/>
    <w:rsid w:val="001B588A"/>
    <w:rsid w:val="001B6EE7"/>
    <w:rsid w:val="001D05EA"/>
    <w:rsid w:val="001D6AE3"/>
    <w:rsid w:val="001E05EB"/>
    <w:rsid w:val="001E5620"/>
    <w:rsid w:val="001E5A96"/>
    <w:rsid w:val="001F19BE"/>
    <w:rsid w:val="001F7439"/>
    <w:rsid w:val="00203205"/>
    <w:rsid w:val="002043D2"/>
    <w:rsid w:val="00211B06"/>
    <w:rsid w:val="00217E17"/>
    <w:rsid w:val="00220D39"/>
    <w:rsid w:val="0022500E"/>
    <w:rsid w:val="00254B37"/>
    <w:rsid w:val="002551A6"/>
    <w:rsid w:val="00260448"/>
    <w:rsid w:val="00260C61"/>
    <w:rsid w:val="00262142"/>
    <w:rsid w:val="00271254"/>
    <w:rsid w:val="00271C90"/>
    <w:rsid w:val="00275A79"/>
    <w:rsid w:val="002959B6"/>
    <w:rsid w:val="002B7451"/>
    <w:rsid w:val="002C461F"/>
    <w:rsid w:val="002D2B5A"/>
    <w:rsid w:val="002D6276"/>
    <w:rsid w:val="002E11F1"/>
    <w:rsid w:val="003027A9"/>
    <w:rsid w:val="00310D3C"/>
    <w:rsid w:val="003310FA"/>
    <w:rsid w:val="003653AC"/>
    <w:rsid w:val="00377DB5"/>
    <w:rsid w:val="00391CDD"/>
    <w:rsid w:val="003A1579"/>
    <w:rsid w:val="003A2E92"/>
    <w:rsid w:val="003A5E1D"/>
    <w:rsid w:val="003B1036"/>
    <w:rsid w:val="003C00AE"/>
    <w:rsid w:val="003C0D74"/>
    <w:rsid w:val="003C3763"/>
    <w:rsid w:val="003C62E8"/>
    <w:rsid w:val="003D764A"/>
    <w:rsid w:val="003E585C"/>
    <w:rsid w:val="00421F19"/>
    <w:rsid w:val="00422162"/>
    <w:rsid w:val="00433D5C"/>
    <w:rsid w:val="00437E87"/>
    <w:rsid w:val="0044784F"/>
    <w:rsid w:val="0045365E"/>
    <w:rsid w:val="004660A4"/>
    <w:rsid w:val="00467886"/>
    <w:rsid w:val="00483727"/>
    <w:rsid w:val="00490C65"/>
    <w:rsid w:val="004B1243"/>
    <w:rsid w:val="004C2BE9"/>
    <w:rsid w:val="004E1F4B"/>
    <w:rsid w:val="004E39FB"/>
    <w:rsid w:val="005047E8"/>
    <w:rsid w:val="00513D5A"/>
    <w:rsid w:val="0052177F"/>
    <w:rsid w:val="00536402"/>
    <w:rsid w:val="005374DF"/>
    <w:rsid w:val="0054342A"/>
    <w:rsid w:val="00544558"/>
    <w:rsid w:val="00547765"/>
    <w:rsid w:val="005708E2"/>
    <w:rsid w:val="0059341E"/>
    <w:rsid w:val="00596D07"/>
    <w:rsid w:val="005A3009"/>
    <w:rsid w:val="005A4A56"/>
    <w:rsid w:val="005C0F09"/>
    <w:rsid w:val="005C285D"/>
    <w:rsid w:val="005C508D"/>
    <w:rsid w:val="005D1EC6"/>
    <w:rsid w:val="005D629B"/>
    <w:rsid w:val="005D7B74"/>
    <w:rsid w:val="005F512F"/>
    <w:rsid w:val="006104A4"/>
    <w:rsid w:val="00630520"/>
    <w:rsid w:val="0065037C"/>
    <w:rsid w:val="00652A36"/>
    <w:rsid w:val="00666335"/>
    <w:rsid w:val="00670EC1"/>
    <w:rsid w:val="0067351D"/>
    <w:rsid w:val="00675E7E"/>
    <w:rsid w:val="00684D06"/>
    <w:rsid w:val="0068512E"/>
    <w:rsid w:val="006A0606"/>
    <w:rsid w:val="006A2D2C"/>
    <w:rsid w:val="006B46DD"/>
    <w:rsid w:val="006B695F"/>
    <w:rsid w:val="006C4482"/>
    <w:rsid w:val="006C6E0F"/>
    <w:rsid w:val="006D1732"/>
    <w:rsid w:val="006D3880"/>
    <w:rsid w:val="006D65E9"/>
    <w:rsid w:val="00702940"/>
    <w:rsid w:val="00707188"/>
    <w:rsid w:val="0071472A"/>
    <w:rsid w:val="00716F38"/>
    <w:rsid w:val="00722640"/>
    <w:rsid w:val="007242BC"/>
    <w:rsid w:val="00725438"/>
    <w:rsid w:val="0074086D"/>
    <w:rsid w:val="0075646F"/>
    <w:rsid w:val="00756521"/>
    <w:rsid w:val="007632B1"/>
    <w:rsid w:val="00767CBC"/>
    <w:rsid w:val="00787861"/>
    <w:rsid w:val="00791B5D"/>
    <w:rsid w:val="007B455B"/>
    <w:rsid w:val="007B6A52"/>
    <w:rsid w:val="007C2530"/>
    <w:rsid w:val="007E581C"/>
    <w:rsid w:val="007F164A"/>
    <w:rsid w:val="007F5873"/>
    <w:rsid w:val="00810C60"/>
    <w:rsid w:val="0081342C"/>
    <w:rsid w:val="00823140"/>
    <w:rsid w:val="008333A7"/>
    <w:rsid w:val="00835549"/>
    <w:rsid w:val="0085154E"/>
    <w:rsid w:val="008543F3"/>
    <w:rsid w:val="00854680"/>
    <w:rsid w:val="00865A1C"/>
    <w:rsid w:val="00876AEC"/>
    <w:rsid w:val="008770A5"/>
    <w:rsid w:val="00893AFC"/>
    <w:rsid w:val="008B0CAA"/>
    <w:rsid w:val="008C18AD"/>
    <w:rsid w:val="008C3A9E"/>
    <w:rsid w:val="008D03B8"/>
    <w:rsid w:val="008D50A3"/>
    <w:rsid w:val="008D7CDF"/>
    <w:rsid w:val="0093002B"/>
    <w:rsid w:val="00936030"/>
    <w:rsid w:val="00945F92"/>
    <w:rsid w:val="009603DC"/>
    <w:rsid w:val="009604D5"/>
    <w:rsid w:val="00962AD9"/>
    <w:rsid w:val="009659F2"/>
    <w:rsid w:val="00965A59"/>
    <w:rsid w:val="00972354"/>
    <w:rsid w:val="009738D9"/>
    <w:rsid w:val="00982B61"/>
    <w:rsid w:val="00987021"/>
    <w:rsid w:val="00990521"/>
    <w:rsid w:val="0099290B"/>
    <w:rsid w:val="00993AD3"/>
    <w:rsid w:val="009A28A5"/>
    <w:rsid w:val="009A685B"/>
    <w:rsid w:val="009B4EE5"/>
    <w:rsid w:val="009C1850"/>
    <w:rsid w:val="009D43D0"/>
    <w:rsid w:val="009D6756"/>
    <w:rsid w:val="009E3080"/>
    <w:rsid w:val="00A152E2"/>
    <w:rsid w:val="00A25556"/>
    <w:rsid w:val="00A51C64"/>
    <w:rsid w:val="00A62E9A"/>
    <w:rsid w:val="00A70984"/>
    <w:rsid w:val="00A922E1"/>
    <w:rsid w:val="00AC42C2"/>
    <w:rsid w:val="00AD0AAC"/>
    <w:rsid w:val="00AD3888"/>
    <w:rsid w:val="00B1325B"/>
    <w:rsid w:val="00B151C4"/>
    <w:rsid w:val="00B175F9"/>
    <w:rsid w:val="00B239C9"/>
    <w:rsid w:val="00B277D5"/>
    <w:rsid w:val="00B35B01"/>
    <w:rsid w:val="00B36C53"/>
    <w:rsid w:val="00B3792C"/>
    <w:rsid w:val="00B4392B"/>
    <w:rsid w:val="00B44BA1"/>
    <w:rsid w:val="00B6429C"/>
    <w:rsid w:val="00B6537D"/>
    <w:rsid w:val="00B74EA2"/>
    <w:rsid w:val="00B76253"/>
    <w:rsid w:val="00B76ECA"/>
    <w:rsid w:val="00B96E76"/>
    <w:rsid w:val="00BC280A"/>
    <w:rsid w:val="00BD02EE"/>
    <w:rsid w:val="00BD2157"/>
    <w:rsid w:val="00BF3344"/>
    <w:rsid w:val="00BF3809"/>
    <w:rsid w:val="00BF7E14"/>
    <w:rsid w:val="00C21020"/>
    <w:rsid w:val="00C22291"/>
    <w:rsid w:val="00C45BB9"/>
    <w:rsid w:val="00C45DF9"/>
    <w:rsid w:val="00C460DA"/>
    <w:rsid w:val="00C566EE"/>
    <w:rsid w:val="00C602B3"/>
    <w:rsid w:val="00C63F29"/>
    <w:rsid w:val="00C7247B"/>
    <w:rsid w:val="00C90037"/>
    <w:rsid w:val="00C90590"/>
    <w:rsid w:val="00C90C45"/>
    <w:rsid w:val="00CA6AC8"/>
    <w:rsid w:val="00CA70EC"/>
    <w:rsid w:val="00CC301C"/>
    <w:rsid w:val="00CD0EA7"/>
    <w:rsid w:val="00CD71D7"/>
    <w:rsid w:val="00CE4004"/>
    <w:rsid w:val="00CF6E32"/>
    <w:rsid w:val="00D0744C"/>
    <w:rsid w:val="00D24998"/>
    <w:rsid w:val="00D37B0A"/>
    <w:rsid w:val="00D42F2D"/>
    <w:rsid w:val="00D450B8"/>
    <w:rsid w:val="00D504EA"/>
    <w:rsid w:val="00D6678D"/>
    <w:rsid w:val="00D75D6F"/>
    <w:rsid w:val="00D819D7"/>
    <w:rsid w:val="00D90CBB"/>
    <w:rsid w:val="00DA2C5F"/>
    <w:rsid w:val="00DB6754"/>
    <w:rsid w:val="00DC41B9"/>
    <w:rsid w:val="00DE1380"/>
    <w:rsid w:val="00DE56EC"/>
    <w:rsid w:val="00DE6F64"/>
    <w:rsid w:val="00DF579B"/>
    <w:rsid w:val="00E46D4A"/>
    <w:rsid w:val="00E507FB"/>
    <w:rsid w:val="00E620B7"/>
    <w:rsid w:val="00E678CF"/>
    <w:rsid w:val="00E8625E"/>
    <w:rsid w:val="00E9354B"/>
    <w:rsid w:val="00E9774D"/>
    <w:rsid w:val="00EA1890"/>
    <w:rsid w:val="00EB25E4"/>
    <w:rsid w:val="00EB7C5B"/>
    <w:rsid w:val="00EC1351"/>
    <w:rsid w:val="00EE026F"/>
    <w:rsid w:val="00EE36C3"/>
    <w:rsid w:val="00EF17A3"/>
    <w:rsid w:val="00EF34E5"/>
    <w:rsid w:val="00EF406C"/>
    <w:rsid w:val="00F00D95"/>
    <w:rsid w:val="00F1353D"/>
    <w:rsid w:val="00F16CDC"/>
    <w:rsid w:val="00F23657"/>
    <w:rsid w:val="00F25A4B"/>
    <w:rsid w:val="00F26419"/>
    <w:rsid w:val="00F27405"/>
    <w:rsid w:val="00F42051"/>
    <w:rsid w:val="00F478EC"/>
    <w:rsid w:val="00F54711"/>
    <w:rsid w:val="00F5510C"/>
    <w:rsid w:val="00F61E16"/>
    <w:rsid w:val="00F755EC"/>
    <w:rsid w:val="00F858CB"/>
    <w:rsid w:val="00F90630"/>
    <w:rsid w:val="00FA4F64"/>
    <w:rsid w:val="00FB08D1"/>
    <w:rsid w:val="00FC057F"/>
    <w:rsid w:val="00FC2AEC"/>
    <w:rsid w:val="00FC7D00"/>
    <w:rsid w:val="00FD1106"/>
    <w:rsid w:val="00FD12C9"/>
    <w:rsid w:val="00FD6E03"/>
    <w:rsid w:val="00FD7A1F"/>
    <w:rsid w:val="00FE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4A56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364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364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egenda">
    <w:name w:val="caption"/>
    <w:basedOn w:val="Normalny"/>
    <w:next w:val="Normalny"/>
    <w:uiPriority w:val="35"/>
    <w:unhideWhenUsed/>
    <w:qFormat/>
    <w:rsid w:val="003310FA"/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D0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D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450B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036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6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6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6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6BF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85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85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85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75E7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5E7E"/>
  </w:style>
  <w:style w:type="paragraph" w:styleId="Stopka">
    <w:name w:val="footer"/>
    <w:basedOn w:val="Normalny"/>
    <w:link w:val="StopkaZnak"/>
    <w:uiPriority w:val="99"/>
    <w:unhideWhenUsed/>
    <w:rsid w:val="00675E7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75E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settings" Target="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footer" Target="footer2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Tablice%20obrobione%20do%20tekstu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7-09_uwagi\bezrobotni_tablice_ABM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7-09_uwagi\bezrobotni_tablice_ABM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4-28\bezrobotni_tablice_ABM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4-28\bezrobotni_tablice_ABM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7-09_uwagi\bezrobotni_tablice_ABM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SP_publikacja\2014-07-09_uwagi\bezrobotni_tablice_ABM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Tablice%20obrobione%20do%20tekstu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Tablice%20obrobione%20do%20tekstu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Tablice%20obrobione%20do%20tekstu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roskam\Pulpit\artyku&#322;%20NSP\Tablice%20obrobione%20do%20tekstu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arysekW\Ustawienia%20lokalne\Temporary%20Internet%20Files\Content.Outlook\6NDRW635\wykres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arysekW\Pulpit\NSP%20publikacja\Pracuj&#261;cy_+50_NSP_201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arysekW\Ustawienia%20lokalne\Temporary%20Internet%20Files\Content.Outlook\6NDRW635\wykres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arysekW\Ustawienia%20lokalne\Temporary%20Internet%20Files\Content.Outlook\6NDRW635\wykresy%20(3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Arkusz1!$I$108</c:f>
              <c:strCache>
                <c:ptCount val="1"/>
                <c:pt idx="0">
                  <c:v>Ludność w wieku 15 lat i więcej</c:v>
                </c:pt>
              </c:strCache>
            </c:strRef>
          </c:tx>
          <c:dLbls>
            <c:dLbl>
              <c:idx val="0"/>
              <c:layout>
                <c:manualLayout>
                  <c:x val="1.1061576924470571E-2"/>
                  <c:y val="-6.9773549122227477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Arkusz1!$J$107:$M$107</c:f>
              <c:strCache>
                <c:ptCount val="4"/>
                <c:pt idx="0">
                  <c:v>Pracujący</c:v>
                </c:pt>
                <c:pt idx="1">
                  <c:v>Bezrobotni</c:v>
                </c:pt>
                <c:pt idx="2">
                  <c:v>Bierni zawodowo</c:v>
                </c:pt>
                <c:pt idx="3">
                  <c:v>Nieustalony status na rynku pracy</c:v>
                </c:pt>
              </c:strCache>
            </c:strRef>
          </c:cat>
          <c:val>
            <c:numRef>
              <c:f>Arkusz1!$J$108:$M$108</c:f>
              <c:numCache>
                <c:formatCode>0.0</c:formatCode>
                <c:ptCount val="4"/>
                <c:pt idx="0">
                  <c:v>46.055137003760194</c:v>
                </c:pt>
                <c:pt idx="1">
                  <c:v>6.2731891508877684</c:v>
                </c:pt>
                <c:pt idx="2">
                  <c:v>42.557014290315394</c:v>
                </c:pt>
                <c:pt idx="3">
                  <c:v>5.1146564950247004</c:v>
                </c:pt>
              </c:numCache>
            </c:numRef>
          </c:val>
        </c:ser>
        <c:ser>
          <c:idx val="1"/>
          <c:order val="1"/>
          <c:tx>
            <c:strRef>
              <c:f>Arkusz1!$I$109</c:f>
              <c:strCache>
                <c:ptCount val="1"/>
                <c:pt idx="0">
                  <c:v>Ludność w wieku 50-69 lat</c:v>
                </c:pt>
              </c:strCache>
            </c:strRef>
          </c:tx>
          <c:dLbls>
            <c:dLbl>
              <c:idx val="0"/>
              <c:layout>
                <c:manualLayout>
                  <c:x val="2.2222222222222292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1.1111111111111233E-2"/>
                  <c:y val="-4.6376820061955074E-3"/>
                </c:manualLayout>
              </c:layout>
              <c:showVal val="1"/>
            </c:dLbl>
            <c:dLbl>
              <c:idx val="2"/>
              <c:layout>
                <c:manualLayout>
                  <c:x val="1.1111111111111233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1.3888888888889114E-2"/>
                  <c:y val="-9.2753640123910547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Arkusz1!$J$107:$M$107</c:f>
              <c:strCache>
                <c:ptCount val="4"/>
                <c:pt idx="0">
                  <c:v>Pracujący</c:v>
                </c:pt>
                <c:pt idx="1">
                  <c:v>Bezrobotni</c:v>
                </c:pt>
                <c:pt idx="2">
                  <c:v>Bierni zawodowo</c:v>
                </c:pt>
                <c:pt idx="3">
                  <c:v>Nieustalony status na rynku pracy</c:v>
                </c:pt>
              </c:strCache>
            </c:strRef>
          </c:cat>
          <c:val>
            <c:numRef>
              <c:f>Arkusz1!$J$109:$M$109</c:f>
              <c:numCache>
                <c:formatCode>0.0</c:formatCode>
                <c:ptCount val="4"/>
                <c:pt idx="0">
                  <c:v>39.718992212704563</c:v>
                </c:pt>
                <c:pt idx="1">
                  <c:v>4.2932660404789313</c:v>
                </c:pt>
                <c:pt idx="2">
                  <c:v>53.014234398692942</c:v>
                </c:pt>
                <c:pt idx="3">
                  <c:v>2.9735177735809692</c:v>
                </c:pt>
              </c:numCache>
            </c:numRef>
          </c:val>
        </c:ser>
        <c:shape val="cylinder"/>
        <c:axId val="146690048"/>
        <c:axId val="146691584"/>
        <c:axId val="0"/>
      </c:bar3DChart>
      <c:catAx>
        <c:axId val="146690048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 baseline="0"/>
            </a:pPr>
            <a:endParaRPr lang="pl-PL"/>
          </a:p>
        </c:txPr>
        <c:crossAx val="146691584"/>
        <c:crosses val="autoZero"/>
        <c:auto val="1"/>
        <c:lblAlgn val="ctr"/>
        <c:lblOffset val="100"/>
      </c:catAx>
      <c:valAx>
        <c:axId val="146691584"/>
        <c:scaling>
          <c:orientation val="minMax"/>
          <c:max val="60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800" baseline="0"/>
                </a:pPr>
                <a:r>
                  <a:rPr lang="pl-PL" sz="800" baseline="0"/>
                  <a:t>%</a:t>
                </a:r>
              </a:p>
            </c:rich>
          </c:tx>
        </c:title>
        <c:numFmt formatCode="General" sourceLinked="0"/>
        <c:tickLblPos val="nextTo"/>
        <c:txPr>
          <a:bodyPr/>
          <a:lstStyle/>
          <a:p>
            <a:pPr>
              <a:defRPr sz="800" baseline="0"/>
            </a:pPr>
            <a:endParaRPr lang="pl-PL"/>
          </a:p>
        </c:txPr>
        <c:crossAx val="146690048"/>
        <c:crosses val="autoZero"/>
        <c:crossBetween val="between"/>
        <c:majorUnit val="20"/>
      </c:valAx>
    </c:plotArea>
    <c:legend>
      <c:legendPos val="b"/>
      <c:txPr>
        <a:bodyPr/>
        <a:lstStyle/>
        <a:p>
          <a:pPr>
            <a:defRPr sz="1000" baseline="0"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7.1845463895400211E-2"/>
          <c:y val="2.3142203871389599E-2"/>
          <c:w val="0.87369602416414505"/>
          <c:h val="0.7379005927632597"/>
        </c:manualLayout>
      </c:layout>
      <c:barChart>
        <c:barDir val="col"/>
        <c:grouping val="clustered"/>
        <c:ser>
          <c:idx val="0"/>
          <c:order val="0"/>
          <c:tx>
            <c:strRef>
              <c:f>struktura!$H$36</c:f>
              <c:strCache>
                <c:ptCount val="1"/>
                <c:pt idx="0">
                  <c:v>50 - 54 lata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3.0935808197989158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struktura!$I$35:$J$35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struktura!$I$36:$J$36</c:f>
              <c:numCache>
                <c:formatCode>0.0</c:formatCode>
                <c:ptCount val="2"/>
                <c:pt idx="0">
                  <c:v>47.2</c:v>
                </c:pt>
                <c:pt idx="1">
                  <c:v>62.4</c:v>
                </c:pt>
              </c:numCache>
            </c:numRef>
          </c:val>
        </c:ser>
        <c:ser>
          <c:idx val="1"/>
          <c:order val="1"/>
          <c:tx>
            <c:strRef>
              <c:f>struktura!$H$37</c:f>
              <c:strCache>
                <c:ptCount val="1"/>
                <c:pt idx="0">
                  <c:v>55 - 59 lat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struktura!$I$35:$J$35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struktura!$I$37:$J$37</c:f>
              <c:numCache>
                <c:formatCode>0.0</c:formatCode>
                <c:ptCount val="2"/>
                <c:pt idx="0">
                  <c:v>38.6</c:v>
                </c:pt>
                <c:pt idx="1">
                  <c:v>33.6</c:v>
                </c:pt>
              </c:numCache>
            </c:numRef>
          </c:val>
        </c:ser>
        <c:ser>
          <c:idx val="2"/>
          <c:order val="2"/>
          <c:tx>
            <c:strRef>
              <c:f>struktura!$H$38</c:f>
              <c:strCache>
                <c:ptCount val="1"/>
                <c:pt idx="0">
                  <c:v>60 - 64 lata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struktura!$I$35:$J$35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struktura!$I$38:$J$38</c:f>
              <c:numCache>
                <c:formatCode>0.0</c:formatCode>
                <c:ptCount val="2"/>
                <c:pt idx="0">
                  <c:v>13.3</c:v>
                </c:pt>
                <c:pt idx="1">
                  <c:v>3.3</c:v>
                </c:pt>
              </c:numCache>
            </c:numRef>
          </c:val>
        </c:ser>
        <c:ser>
          <c:idx val="3"/>
          <c:order val="3"/>
          <c:tx>
            <c:strRef>
              <c:f>struktura!$H$39</c:f>
              <c:strCache>
                <c:ptCount val="1"/>
                <c:pt idx="0">
                  <c:v>65 - 69 lat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struktura!$I$35:$J$35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struktura!$I$39:$J$39</c:f>
              <c:numCache>
                <c:formatCode>0.0</c:formatCode>
                <c:ptCount val="2"/>
                <c:pt idx="0">
                  <c:v>0.8</c:v>
                </c:pt>
                <c:pt idx="1">
                  <c:v>0.70000000000000062</c:v>
                </c:pt>
              </c:numCache>
            </c:numRef>
          </c:val>
        </c:ser>
        <c:dLbls>
          <c:showVal val="1"/>
        </c:dLbls>
        <c:axId val="163959552"/>
        <c:axId val="163961088"/>
      </c:barChart>
      <c:catAx>
        <c:axId val="16395955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3961088"/>
        <c:crosses val="autoZero"/>
        <c:auto val="1"/>
        <c:lblAlgn val="ctr"/>
        <c:lblOffset val="100"/>
      </c:catAx>
      <c:valAx>
        <c:axId val="16396108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39595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18432398116302"/>
          <c:y val="0.87600976193765256"/>
          <c:w val="0.64336488624842691"/>
          <c:h val="0.12142855827232123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25219051919585406"/>
          <c:y val="3.3952659587276376E-2"/>
          <c:w val="0.69524078307415871"/>
          <c:h val="0.73143730886850167"/>
        </c:manualLayout>
      </c:layout>
      <c:barChart>
        <c:barDir val="col"/>
        <c:grouping val="clustered"/>
        <c:ser>
          <c:idx val="0"/>
          <c:order val="0"/>
          <c:tx>
            <c:strRef>
              <c:f>struktura!$H$42</c:f>
              <c:strCache>
                <c:ptCount val="1"/>
                <c:pt idx="0">
                  <c:v>50 - 54 lata</c:v>
                </c:pt>
              </c:strCache>
            </c:strRef>
          </c:tx>
          <c:dLbls>
            <c:dLbl>
              <c:idx val="1"/>
              <c:layout>
                <c:manualLayout>
                  <c:x val="7.5444944640118693E-17"/>
                  <c:y val="-2.446483180428133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struktura!$I$41:$J$41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struktura!$I$42:$J$42</c:f>
              <c:numCache>
                <c:formatCode>0.0</c:formatCode>
                <c:ptCount val="2"/>
                <c:pt idx="0">
                  <c:v>51.9</c:v>
                </c:pt>
                <c:pt idx="1">
                  <c:v>57.2</c:v>
                </c:pt>
              </c:numCache>
            </c:numRef>
          </c:val>
        </c:ser>
        <c:ser>
          <c:idx val="1"/>
          <c:order val="1"/>
          <c:tx>
            <c:strRef>
              <c:f>struktura!$H$43</c:f>
              <c:strCache>
                <c:ptCount val="1"/>
                <c:pt idx="0">
                  <c:v>55 - 59 lat</c:v>
                </c:pt>
              </c:strCache>
            </c:strRef>
          </c:tx>
          <c:dLbls>
            <c:dLbl>
              <c:idx val="0"/>
              <c:layout>
                <c:manualLayout>
                  <c:x val="4.11522633744856E-3"/>
                  <c:y val="-2.446483180428133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struktura!$I$41:$J$41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struktura!$I$43:$J$43</c:f>
              <c:numCache>
                <c:formatCode>0.0</c:formatCode>
                <c:ptCount val="2"/>
                <c:pt idx="0">
                  <c:v>37.200000000000003</c:v>
                </c:pt>
                <c:pt idx="1">
                  <c:v>35</c:v>
                </c:pt>
              </c:numCache>
            </c:numRef>
          </c:val>
        </c:ser>
        <c:ser>
          <c:idx val="2"/>
          <c:order val="2"/>
          <c:tx>
            <c:strRef>
              <c:f>struktura!$H$44</c:f>
              <c:strCache>
                <c:ptCount val="1"/>
                <c:pt idx="0">
                  <c:v>60 - 64 lata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-3.669724770642206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struktura!$I$41:$J$41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struktura!$I$44:$J$44</c:f>
              <c:numCache>
                <c:formatCode>0.0</c:formatCode>
                <c:ptCount val="2"/>
                <c:pt idx="0">
                  <c:v>9.9</c:v>
                </c:pt>
                <c:pt idx="1">
                  <c:v>7.4</c:v>
                </c:pt>
              </c:numCache>
            </c:numRef>
          </c:val>
        </c:ser>
        <c:ser>
          <c:idx val="3"/>
          <c:order val="3"/>
          <c:tx>
            <c:strRef>
              <c:f>struktura!$H$45</c:f>
              <c:strCache>
                <c:ptCount val="1"/>
                <c:pt idx="0">
                  <c:v>65 - 69 lat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struktura!$I$41:$J$41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struktura!$I$45:$J$45</c:f>
              <c:numCache>
                <c:formatCode>0.0</c:formatCode>
                <c:ptCount val="2"/>
                <c:pt idx="0">
                  <c:v>1</c:v>
                </c:pt>
                <c:pt idx="1">
                  <c:v>0.30000000000000032</c:v>
                </c:pt>
              </c:numCache>
            </c:numRef>
          </c:val>
        </c:ser>
        <c:axId val="163989376"/>
        <c:axId val="163990912"/>
      </c:barChart>
      <c:catAx>
        <c:axId val="163989376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3990912"/>
        <c:crosses val="autoZero"/>
        <c:auto val="1"/>
        <c:lblAlgn val="ctr"/>
        <c:lblOffset val="100"/>
      </c:catAx>
      <c:valAx>
        <c:axId val="16399091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  <c:layout>
            <c:manualLayout>
              <c:xMode val="edge"/>
              <c:yMode val="edge"/>
              <c:x val="0.12967693853083179"/>
              <c:y val="0.37642201834862538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398937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0102880658436243"/>
          <c:y val="0.88702136191309422"/>
          <c:w val="0.5213991769547327"/>
          <c:h val="0.11051509186351706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Arkusz7!$D$43</c:f>
              <c:strCache>
                <c:ptCount val="1"/>
                <c:pt idx="0">
                  <c:v>Wyższe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3.627141264588181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1.350021512645954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pl-PL"/>
              </a:p>
            </c:txPr>
            <c:dLblPos val="outEnd"/>
            <c:showVal val="1"/>
          </c:dLbls>
          <c:cat>
            <c:strRef>
              <c:f>Arkusz7!$C$44:$C$45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Arkusz7!$D$44:$D$45</c:f>
              <c:numCache>
                <c:formatCode>0.0</c:formatCode>
                <c:ptCount val="2"/>
                <c:pt idx="0">
                  <c:v>6.5</c:v>
                </c:pt>
                <c:pt idx="1">
                  <c:v>6.1</c:v>
                </c:pt>
              </c:numCache>
            </c:numRef>
          </c:val>
        </c:ser>
        <c:ser>
          <c:idx val="1"/>
          <c:order val="1"/>
          <c:tx>
            <c:strRef>
              <c:f>Arkusz7!$E$43</c:f>
              <c:strCache>
                <c:ptCount val="1"/>
                <c:pt idx="0">
                  <c:v>Policealne i średnie zawodowe</c:v>
                </c:pt>
              </c:strCache>
            </c:strRef>
          </c:tx>
          <c:dLbls>
            <c:dLbl>
              <c:idx val="0"/>
              <c:layout>
                <c:manualLayout>
                  <c:x val="2.2045855379188802E-3"/>
                  <c:y val="3.3750537816148872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pl-PL"/>
              </a:p>
            </c:txPr>
            <c:dLblPos val="outEnd"/>
            <c:showVal val="1"/>
          </c:dLbls>
          <c:cat>
            <c:strRef>
              <c:f>Arkusz7!$C$44:$C$45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Arkusz7!$E$44:$E$45</c:f>
              <c:numCache>
                <c:formatCode>0.0</c:formatCode>
                <c:ptCount val="2"/>
                <c:pt idx="0">
                  <c:v>20.8</c:v>
                </c:pt>
                <c:pt idx="1">
                  <c:v>28.5</c:v>
                </c:pt>
              </c:numCache>
            </c:numRef>
          </c:val>
        </c:ser>
        <c:ser>
          <c:idx val="2"/>
          <c:order val="2"/>
          <c:tx>
            <c:strRef>
              <c:f>Arkusz7!$F$43</c:f>
              <c:strCache>
                <c:ptCount val="1"/>
                <c:pt idx="0">
                  <c:v>Średnie ogólnokształcące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/>
                </a:pPr>
                <a:endParaRPr lang="pl-PL"/>
              </a:p>
            </c:txPr>
            <c:dLblPos val="outEnd"/>
            <c:showVal val="1"/>
          </c:dLbls>
          <c:cat>
            <c:strRef>
              <c:f>Arkusz7!$C$44:$C$45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Arkusz7!$F$44:$F$45</c:f>
              <c:numCache>
                <c:formatCode>0.0</c:formatCode>
                <c:ptCount val="2"/>
                <c:pt idx="0">
                  <c:v>4.4000000000000004</c:v>
                </c:pt>
                <c:pt idx="1">
                  <c:v>14.2</c:v>
                </c:pt>
              </c:numCache>
            </c:numRef>
          </c:val>
        </c:ser>
        <c:ser>
          <c:idx val="3"/>
          <c:order val="3"/>
          <c:tx>
            <c:strRef>
              <c:f>Arkusz7!$G$43</c:f>
              <c:strCache>
                <c:ptCount val="1"/>
                <c:pt idx="0">
                  <c:v>Zasadnicze zawodowe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369913756216587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6.7501075632297814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pl-PL"/>
              </a:p>
            </c:txPr>
            <c:dLblPos val="outEnd"/>
            <c:showVal val="1"/>
          </c:dLbls>
          <c:cat>
            <c:strRef>
              <c:f>Arkusz7!$C$44:$C$45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Arkusz7!$G$44:$G$45</c:f>
              <c:numCache>
                <c:formatCode>0.0</c:formatCode>
                <c:ptCount val="2"/>
                <c:pt idx="0">
                  <c:v>46</c:v>
                </c:pt>
                <c:pt idx="1">
                  <c:v>30.4</c:v>
                </c:pt>
              </c:numCache>
            </c:numRef>
          </c:val>
        </c:ser>
        <c:ser>
          <c:idx val="4"/>
          <c:order val="4"/>
          <c:tx>
            <c:strRef>
              <c:f>Arkusz7!$H$43</c:f>
              <c:strCache>
                <c:ptCount val="1"/>
                <c:pt idx="0">
                  <c:v>Gimnazjalne i niższe**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1.350021512645947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6.7501075632298404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pl-PL"/>
              </a:p>
            </c:txPr>
            <c:dLblPos val="outEnd"/>
            <c:showVal val="1"/>
          </c:dLbls>
          <c:cat>
            <c:strRef>
              <c:f>Arkusz7!$C$44:$C$45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Arkusz7!$H$44:$H$45</c:f>
              <c:numCache>
                <c:formatCode>0.0</c:formatCode>
                <c:ptCount val="2"/>
                <c:pt idx="0">
                  <c:v>22.3</c:v>
                </c:pt>
                <c:pt idx="1">
                  <c:v>20.9</c:v>
                </c:pt>
              </c:numCache>
            </c:numRef>
          </c:val>
        </c:ser>
        <c:dLbls>
          <c:showVal val="1"/>
        </c:dLbls>
        <c:axId val="164090240"/>
        <c:axId val="164091776"/>
      </c:barChart>
      <c:catAx>
        <c:axId val="164090240"/>
        <c:scaling>
          <c:orientation val="minMax"/>
        </c:scaling>
        <c:axPos val="b"/>
        <c:tickLblPos val="nextTo"/>
        <c:crossAx val="164091776"/>
        <c:crosses val="autoZero"/>
        <c:auto val="1"/>
        <c:lblAlgn val="ctr"/>
        <c:lblOffset val="100"/>
      </c:catAx>
      <c:valAx>
        <c:axId val="16409177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</c:title>
        <c:numFmt formatCode="0.0" sourceLinked="1"/>
        <c:tickLblPos val="nextTo"/>
        <c:crossAx val="16409024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5655076751393623"/>
          <c:y val="0.73417910931658992"/>
          <c:w val="0.68910601269948746"/>
          <c:h val="0.23867264308141872"/>
        </c:manualLayout>
      </c:layout>
    </c:legend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0.19089586483808718"/>
          <c:y val="1.7094017094017103E-2"/>
          <c:w val="0.76508091289913494"/>
          <c:h val="0.79910660205935802"/>
        </c:manualLayout>
      </c:layout>
      <c:barChart>
        <c:barDir val="bar"/>
        <c:grouping val="percentStacked"/>
        <c:ser>
          <c:idx val="0"/>
          <c:order val="0"/>
          <c:tx>
            <c:strRef>
              <c:f>Arkusz9!$C$24</c:f>
              <c:strCache>
                <c:ptCount val="1"/>
                <c:pt idx="0">
                  <c:v>do 1 miesiąca włącznie</c:v>
                </c:pt>
              </c:strCache>
            </c:strRef>
          </c:tx>
          <c:cat>
            <c:strRef>
              <c:f>Arkusz9!$B$25:$B$40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Arkusz9!$C$25:$C$40</c:f>
              <c:numCache>
                <c:formatCode>0.0</c:formatCode>
                <c:ptCount val="16"/>
                <c:pt idx="0">
                  <c:v>55.8</c:v>
                </c:pt>
                <c:pt idx="1">
                  <c:v>9</c:v>
                </c:pt>
                <c:pt idx="2">
                  <c:v>6.1</c:v>
                </c:pt>
                <c:pt idx="3">
                  <c:v>1.3</c:v>
                </c:pt>
                <c:pt idx="4">
                  <c:v>2.2999999999999998</c:v>
                </c:pt>
                <c:pt idx="5">
                  <c:v>9.9</c:v>
                </c:pt>
                <c:pt idx="6">
                  <c:v>4.9000000000000004</c:v>
                </c:pt>
                <c:pt idx="7">
                  <c:v>19.899999999999999</c:v>
                </c:pt>
                <c:pt idx="8">
                  <c:v>0.8</c:v>
                </c:pt>
                <c:pt idx="9">
                  <c:v>2.6</c:v>
                </c:pt>
                <c:pt idx="10">
                  <c:v>1.3</c:v>
                </c:pt>
                <c:pt idx="11">
                  <c:v>7.2</c:v>
                </c:pt>
                <c:pt idx="12">
                  <c:v>10.7</c:v>
                </c:pt>
                <c:pt idx="13">
                  <c:v>1.6</c:v>
                </c:pt>
                <c:pt idx="14">
                  <c:v>1.6</c:v>
                </c:pt>
                <c:pt idx="15">
                  <c:v>0.30000000000000032</c:v>
                </c:pt>
              </c:numCache>
            </c:numRef>
          </c:val>
        </c:ser>
        <c:ser>
          <c:idx val="1"/>
          <c:order val="1"/>
          <c:tx>
            <c:strRef>
              <c:f>Arkusz9!$D$24</c:f>
              <c:strCache>
                <c:ptCount val="1"/>
                <c:pt idx="0">
                  <c:v>2 - 3 miesiące</c:v>
                </c:pt>
              </c:strCache>
            </c:strRef>
          </c:tx>
          <c:cat>
            <c:strRef>
              <c:f>Arkusz9!$B$25:$B$40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Arkusz9!$D$25:$D$40</c:f>
              <c:numCache>
                <c:formatCode>0.0</c:formatCode>
                <c:ptCount val="16"/>
                <c:pt idx="0">
                  <c:v>181.2</c:v>
                </c:pt>
                <c:pt idx="1">
                  <c:v>26.2</c:v>
                </c:pt>
                <c:pt idx="2">
                  <c:v>22.5</c:v>
                </c:pt>
                <c:pt idx="3">
                  <c:v>4.9000000000000004</c:v>
                </c:pt>
                <c:pt idx="4">
                  <c:v>8.3000000000000007</c:v>
                </c:pt>
                <c:pt idx="5">
                  <c:v>30.7</c:v>
                </c:pt>
                <c:pt idx="6">
                  <c:v>15.7</c:v>
                </c:pt>
                <c:pt idx="7">
                  <c:v>64.5</c:v>
                </c:pt>
                <c:pt idx="8">
                  <c:v>2.4</c:v>
                </c:pt>
                <c:pt idx="9">
                  <c:v>7.4</c:v>
                </c:pt>
                <c:pt idx="10">
                  <c:v>4.3</c:v>
                </c:pt>
                <c:pt idx="11">
                  <c:v>24.5</c:v>
                </c:pt>
                <c:pt idx="12">
                  <c:v>28</c:v>
                </c:pt>
                <c:pt idx="13">
                  <c:v>7.3</c:v>
                </c:pt>
                <c:pt idx="14">
                  <c:v>6.3</c:v>
                </c:pt>
                <c:pt idx="15">
                  <c:v>0.9</c:v>
                </c:pt>
              </c:numCache>
            </c:numRef>
          </c:val>
        </c:ser>
        <c:ser>
          <c:idx val="2"/>
          <c:order val="2"/>
          <c:tx>
            <c:strRef>
              <c:f>Arkusz9!$E$24</c:f>
              <c:strCache>
                <c:ptCount val="1"/>
                <c:pt idx="0">
                  <c:v>4 - 6 miesięcy</c:v>
                </c:pt>
              </c:strCache>
            </c:strRef>
          </c:tx>
          <c:cat>
            <c:strRef>
              <c:f>Arkusz9!$B$25:$B$40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Arkusz9!$E$25:$E$40</c:f>
              <c:numCache>
                <c:formatCode>0.0</c:formatCode>
                <c:ptCount val="16"/>
                <c:pt idx="0">
                  <c:v>278</c:v>
                </c:pt>
                <c:pt idx="1">
                  <c:v>40.9</c:v>
                </c:pt>
                <c:pt idx="2">
                  <c:v>35.200000000000003</c:v>
                </c:pt>
                <c:pt idx="3">
                  <c:v>8</c:v>
                </c:pt>
                <c:pt idx="4">
                  <c:v>10.8</c:v>
                </c:pt>
                <c:pt idx="5">
                  <c:v>46.6</c:v>
                </c:pt>
                <c:pt idx="6">
                  <c:v>26.4</c:v>
                </c:pt>
                <c:pt idx="7">
                  <c:v>91.3</c:v>
                </c:pt>
                <c:pt idx="8">
                  <c:v>4.2</c:v>
                </c:pt>
                <c:pt idx="9">
                  <c:v>12</c:v>
                </c:pt>
                <c:pt idx="10">
                  <c:v>7.7</c:v>
                </c:pt>
                <c:pt idx="11">
                  <c:v>35.1</c:v>
                </c:pt>
                <c:pt idx="12">
                  <c:v>44.5</c:v>
                </c:pt>
                <c:pt idx="13">
                  <c:v>10.8</c:v>
                </c:pt>
                <c:pt idx="14">
                  <c:v>10.1</c:v>
                </c:pt>
                <c:pt idx="15">
                  <c:v>1.4</c:v>
                </c:pt>
              </c:numCache>
            </c:numRef>
          </c:val>
        </c:ser>
        <c:ser>
          <c:idx val="3"/>
          <c:order val="3"/>
          <c:tx>
            <c:strRef>
              <c:f>Arkusz9!$F$24</c:f>
              <c:strCache>
                <c:ptCount val="1"/>
                <c:pt idx="0">
                  <c:v>7 - 12 miesięcy</c:v>
                </c:pt>
              </c:strCache>
            </c:strRef>
          </c:tx>
          <c:cat>
            <c:strRef>
              <c:f>Arkusz9!$B$25:$B$40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Arkusz9!$F$25:$F$40</c:f>
              <c:numCache>
                <c:formatCode>0.0</c:formatCode>
                <c:ptCount val="16"/>
                <c:pt idx="0">
                  <c:v>400.8</c:v>
                </c:pt>
                <c:pt idx="1">
                  <c:v>58.8</c:v>
                </c:pt>
                <c:pt idx="2">
                  <c:v>48.1</c:v>
                </c:pt>
                <c:pt idx="3">
                  <c:v>11.1</c:v>
                </c:pt>
                <c:pt idx="4">
                  <c:v>15.2</c:v>
                </c:pt>
                <c:pt idx="5">
                  <c:v>70.8</c:v>
                </c:pt>
                <c:pt idx="6">
                  <c:v>37.300000000000004</c:v>
                </c:pt>
                <c:pt idx="7">
                  <c:v>133.1</c:v>
                </c:pt>
                <c:pt idx="8">
                  <c:v>5.6</c:v>
                </c:pt>
                <c:pt idx="9">
                  <c:v>20.7</c:v>
                </c:pt>
                <c:pt idx="10">
                  <c:v>10.4</c:v>
                </c:pt>
                <c:pt idx="11">
                  <c:v>51.9</c:v>
                </c:pt>
                <c:pt idx="12">
                  <c:v>64.2</c:v>
                </c:pt>
                <c:pt idx="13">
                  <c:v>17</c:v>
                </c:pt>
                <c:pt idx="14">
                  <c:v>13.9</c:v>
                </c:pt>
                <c:pt idx="15">
                  <c:v>1.9000000000000001</c:v>
                </c:pt>
              </c:numCache>
            </c:numRef>
          </c:val>
        </c:ser>
        <c:ser>
          <c:idx val="4"/>
          <c:order val="4"/>
          <c:tx>
            <c:strRef>
              <c:f>Arkusz9!$G$24</c:f>
              <c:strCache>
                <c:ptCount val="1"/>
                <c:pt idx="0">
                  <c:v>13 - 24 miesiące</c:v>
                </c:pt>
              </c:strCache>
            </c:strRef>
          </c:tx>
          <c:cat>
            <c:strRef>
              <c:f>Arkusz9!$B$25:$B$40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Arkusz9!$G$25:$G$40</c:f>
              <c:numCache>
                <c:formatCode>0.0</c:formatCode>
                <c:ptCount val="16"/>
                <c:pt idx="0">
                  <c:v>239.6</c:v>
                </c:pt>
                <c:pt idx="1">
                  <c:v>34.700000000000003</c:v>
                </c:pt>
                <c:pt idx="2">
                  <c:v>27.6</c:v>
                </c:pt>
                <c:pt idx="3">
                  <c:v>6.3</c:v>
                </c:pt>
                <c:pt idx="4">
                  <c:v>8.8000000000000007</c:v>
                </c:pt>
                <c:pt idx="5">
                  <c:v>45.6</c:v>
                </c:pt>
                <c:pt idx="6">
                  <c:v>24.2</c:v>
                </c:pt>
                <c:pt idx="7">
                  <c:v>76.7</c:v>
                </c:pt>
                <c:pt idx="8">
                  <c:v>3.4</c:v>
                </c:pt>
                <c:pt idx="9">
                  <c:v>11.8</c:v>
                </c:pt>
                <c:pt idx="10">
                  <c:v>6.8</c:v>
                </c:pt>
                <c:pt idx="11">
                  <c:v>33.700000000000003</c:v>
                </c:pt>
                <c:pt idx="12">
                  <c:v>42.3</c:v>
                </c:pt>
                <c:pt idx="13">
                  <c:v>8.6</c:v>
                </c:pt>
                <c:pt idx="14">
                  <c:v>7.3</c:v>
                </c:pt>
                <c:pt idx="15">
                  <c:v>1.2</c:v>
                </c:pt>
              </c:numCache>
            </c:numRef>
          </c:val>
        </c:ser>
        <c:ser>
          <c:idx val="5"/>
          <c:order val="5"/>
          <c:tx>
            <c:strRef>
              <c:f>Arkusz9!$H$24</c:f>
              <c:strCache>
                <c:ptCount val="1"/>
                <c:pt idx="0">
                  <c:v>powyżej 24 miesięcy</c:v>
                </c:pt>
              </c:strCache>
            </c:strRef>
          </c:tx>
          <c:cat>
            <c:strRef>
              <c:f>Arkusz9!$B$25:$B$40</c:f>
              <c:strCache>
                <c:ptCount val="16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</c:strCache>
            </c:strRef>
          </c:cat>
          <c:val>
            <c:numRef>
              <c:f>Arkusz9!$H$25:$H$40</c:f>
              <c:numCache>
                <c:formatCode>0.0</c:formatCode>
                <c:ptCount val="16"/>
                <c:pt idx="0">
                  <c:v>289.8</c:v>
                </c:pt>
                <c:pt idx="1">
                  <c:v>39.5</c:v>
                </c:pt>
                <c:pt idx="2">
                  <c:v>34.800000000000004</c:v>
                </c:pt>
                <c:pt idx="3">
                  <c:v>8.9</c:v>
                </c:pt>
                <c:pt idx="4">
                  <c:v>9.3000000000000007</c:v>
                </c:pt>
                <c:pt idx="5">
                  <c:v>49.5</c:v>
                </c:pt>
                <c:pt idx="6">
                  <c:v>29.9</c:v>
                </c:pt>
                <c:pt idx="7">
                  <c:v>94.5</c:v>
                </c:pt>
                <c:pt idx="8">
                  <c:v>4.5</c:v>
                </c:pt>
                <c:pt idx="9">
                  <c:v>17.8</c:v>
                </c:pt>
                <c:pt idx="10">
                  <c:v>9.1</c:v>
                </c:pt>
                <c:pt idx="11">
                  <c:v>30.1</c:v>
                </c:pt>
                <c:pt idx="12">
                  <c:v>56.5</c:v>
                </c:pt>
                <c:pt idx="13">
                  <c:v>12.1</c:v>
                </c:pt>
                <c:pt idx="14">
                  <c:v>8.7000000000000011</c:v>
                </c:pt>
                <c:pt idx="15">
                  <c:v>1.2</c:v>
                </c:pt>
              </c:numCache>
            </c:numRef>
          </c:val>
        </c:ser>
        <c:overlap val="100"/>
        <c:axId val="164161024"/>
        <c:axId val="164162560"/>
      </c:barChart>
      <c:catAx>
        <c:axId val="164161024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64162560"/>
        <c:crosses val="autoZero"/>
        <c:auto val="1"/>
        <c:lblAlgn val="ctr"/>
        <c:lblOffset val="100"/>
        <c:tickLblSkip val="1"/>
      </c:catAx>
      <c:valAx>
        <c:axId val="164162560"/>
        <c:scaling>
          <c:orientation val="minMax"/>
        </c:scaling>
        <c:axPos val="b"/>
        <c:majorGridlines/>
        <c:numFmt formatCode="0%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64161024"/>
        <c:crosses val="autoZero"/>
        <c:crossBetween val="between"/>
      </c:valAx>
    </c:plotArea>
    <c:legend>
      <c:legendPos val="b"/>
      <c:txPr>
        <a:bodyPr/>
        <a:lstStyle/>
        <a:p>
          <a:pPr>
            <a:defRPr sz="800"/>
          </a:pPr>
          <a:endParaRPr lang="pl-PL"/>
        </a:p>
      </c:txPr>
    </c:legend>
    <c:plotVisOnly val="1"/>
  </c:chart>
  <c:spPr>
    <a:ln>
      <a:solidFill>
        <a:schemeClr val="bg1"/>
      </a:solidFill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7975532719427068"/>
          <c:y val="3.7470535555313635E-2"/>
          <c:w val="0.77052715868143595"/>
          <c:h val="0.67970667098944948"/>
        </c:manualLayout>
      </c:layout>
      <c:barChart>
        <c:barDir val="col"/>
        <c:grouping val="clustered"/>
        <c:ser>
          <c:idx val="0"/>
          <c:order val="0"/>
          <c:tx>
            <c:strRef>
              <c:f>Arkusz13!$D$81</c:f>
              <c:strCache>
                <c:ptCount val="1"/>
                <c:pt idx="0">
                  <c:v>do 1 roku włącznie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Arkusz13!$C$82:$C$83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Arkusz13!$D$82:$D$83</c:f>
              <c:numCache>
                <c:formatCode>0.0</c:formatCode>
                <c:ptCount val="2"/>
                <c:pt idx="0">
                  <c:v>36.1</c:v>
                </c:pt>
                <c:pt idx="1">
                  <c:v>29.3</c:v>
                </c:pt>
              </c:numCache>
            </c:numRef>
          </c:val>
        </c:ser>
        <c:ser>
          <c:idx val="1"/>
          <c:order val="1"/>
          <c:tx>
            <c:strRef>
              <c:f>Arkusz13!$E$81</c:f>
              <c:strCache>
                <c:ptCount val="1"/>
                <c:pt idx="0">
                  <c:v>2 - 3 lata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898093022924981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4.6963673514752021E-3"/>
                  <c:y val="-2.962223218032707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Arkusz13!$C$82:$C$83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Arkusz13!$E$82:$E$83</c:f>
              <c:numCache>
                <c:formatCode>0.0</c:formatCode>
                <c:ptCount val="2"/>
                <c:pt idx="0">
                  <c:v>19.7</c:v>
                </c:pt>
                <c:pt idx="1">
                  <c:v>17.7</c:v>
                </c:pt>
              </c:numCache>
            </c:numRef>
          </c:val>
        </c:ser>
        <c:ser>
          <c:idx val="2"/>
          <c:order val="2"/>
          <c:tx>
            <c:strRef>
              <c:f>Arkusz13!$F$81</c:f>
              <c:strCache>
                <c:ptCount val="1"/>
                <c:pt idx="0">
                  <c:v>4 - 5 lat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Arkusz13!$C$82:$C$83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Arkusz13!$F$82:$F$83</c:f>
              <c:numCache>
                <c:formatCode>0.0</c:formatCode>
                <c:ptCount val="2"/>
                <c:pt idx="0">
                  <c:v>6.9</c:v>
                </c:pt>
                <c:pt idx="1">
                  <c:v>6.9</c:v>
                </c:pt>
              </c:numCache>
            </c:numRef>
          </c:val>
        </c:ser>
        <c:ser>
          <c:idx val="3"/>
          <c:order val="3"/>
          <c:tx>
            <c:strRef>
              <c:f>Arkusz13!$G$81</c:f>
              <c:strCache>
                <c:ptCount val="1"/>
                <c:pt idx="0">
                  <c:v>6 - 8 lat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-2.529358626919602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Arkusz13!$C$82:$C$83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Arkusz13!$G$82:$G$83</c:f>
              <c:numCache>
                <c:formatCode>0.0</c:formatCode>
                <c:ptCount val="2"/>
                <c:pt idx="0">
                  <c:v>6.3</c:v>
                </c:pt>
                <c:pt idx="1">
                  <c:v>7.7</c:v>
                </c:pt>
              </c:numCache>
            </c:numRef>
          </c:val>
        </c:ser>
        <c:ser>
          <c:idx val="4"/>
          <c:order val="4"/>
          <c:tx>
            <c:strRef>
              <c:f>Arkusz13!$H$81</c:f>
              <c:strCache>
                <c:ptCount val="1"/>
                <c:pt idx="0">
                  <c:v>9 lat i więcej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-1.20322358079223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Arkusz13!$C$82:$C$83</c:f>
              <c:strCache>
                <c:ptCount val="2"/>
                <c:pt idx="0">
                  <c:v>Mężczyźni</c:v>
                </c:pt>
                <c:pt idx="1">
                  <c:v>Kobiety</c:v>
                </c:pt>
              </c:strCache>
            </c:strRef>
          </c:cat>
          <c:val>
            <c:numRef>
              <c:f>Arkusz13!$H$82:$H$83</c:f>
              <c:numCache>
                <c:formatCode>0.0</c:formatCode>
                <c:ptCount val="2"/>
                <c:pt idx="0">
                  <c:v>31</c:v>
                </c:pt>
                <c:pt idx="1">
                  <c:v>38.4</c:v>
                </c:pt>
              </c:numCache>
            </c:numRef>
          </c:val>
        </c:ser>
        <c:axId val="164322688"/>
        <c:axId val="164357248"/>
      </c:barChart>
      <c:catAx>
        <c:axId val="164322688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4357248"/>
        <c:crosses val="autoZero"/>
        <c:auto val="1"/>
        <c:lblAlgn val="ctr"/>
        <c:lblOffset val="100"/>
      </c:catAx>
      <c:valAx>
        <c:axId val="16435724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  <c:layout>
            <c:manualLayout>
              <c:xMode val="edge"/>
              <c:yMode val="edge"/>
              <c:x val="5.5120504073798586E-2"/>
              <c:y val="0.74961198955821584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43226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8793433871613613"/>
          <c:y val="0.80172548040000102"/>
          <c:w val="0.80492192713198984"/>
          <c:h val="0.14090023677853641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5453683289588868"/>
          <c:y val="3.7470535555313635E-2"/>
          <c:w val="0.79657427821522309"/>
          <c:h val="0.67970667098944948"/>
        </c:manualLayout>
      </c:layout>
      <c:barChart>
        <c:barDir val="col"/>
        <c:grouping val="clustered"/>
        <c:ser>
          <c:idx val="0"/>
          <c:order val="0"/>
          <c:tx>
            <c:strRef>
              <c:f>Arkusz13!$D$86</c:f>
              <c:strCache>
                <c:ptCount val="1"/>
                <c:pt idx="0">
                  <c:v>do 1 roku włącznie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-2.875112309074573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Arkusz13!$C$87:$C$88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Arkusz13!$D$87:$D$88</c:f>
              <c:numCache>
                <c:formatCode>0.0</c:formatCode>
                <c:ptCount val="2"/>
                <c:pt idx="0">
                  <c:v>33.800000000000004</c:v>
                </c:pt>
                <c:pt idx="1">
                  <c:v>32.200000000000003</c:v>
                </c:pt>
              </c:numCache>
            </c:numRef>
          </c:val>
        </c:ser>
        <c:ser>
          <c:idx val="1"/>
          <c:order val="1"/>
          <c:tx>
            <c:strRef>
              <c:f>Arkusz13!$E$86</c:f>
              <c:strCache>
                <c:ptCount val="1"/>
                <c:pt idx="0">
                  <c:v>2 - 3 lata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Arkusz13!$C$87:$C$88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Arkusz13!$E$87:$E$88</c:f>
              <c:numCache>
                <c:formatCode>0.0</c:formatCode>
                <c:ptCount val="2"/>
                <c:pt idx="0">
                  <c:v>19.7</c:v>
                </c:pt>
                <c:pt idx="1">
                  <c:v>16.899999999999999</c:v>
                </c:pt>
              </c:numCache>
            </c:numRef>
          </c:val>
        </c:ser>
        <c:ser>
          <c:idx val="2"/>
          <c:order val="2"/>
          <c:tx>
            <c:strRef>
              <c:f>Arkusz13!$F$86</c:f>
              <c:strCache>
                <c:ptCount val="1"/>
                <c:pt idx="0">
                  <c:v>4 - 5 lat</c:v>
                </c:pt>
              </c:strCache>
            </c:strRef>
          </c:tx>
          <c:dLbls>
            <c:dLbl>
              <c:idx val="0"/>
              <c:layout>
                <c:manualLayout>
                  <c:x val="4.1571704189453115E-17"/>
                  <c:y val="-3.593890386343218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Arkusz13!$C$87:$C$88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Arkusz13!$F$87:$F$88</c:f>
              <c:numCache>
                <c:formatCode>0.0</c:formatCode>
                <c:ptCount val="2"/>
                <c:pt idx="0">
                  <c:v>7.3</c:v>
                </c:pt>
                <c:pt idx="1">
                  <c:v>5.9</c:v>
                </c:pt>
              </c:numCache>
            </c:numRef>
          </c:val>
        </c:ser>
        <c:ser>
          <c:idx val="3"/>
          <c:order val="3"/>
          <c:tx>
            <c:strRef>
              <c:f>Arkusz13!$G$86</c:f>
              <c:strCache>
                <c:ptCount val="1"/>
                <c:pt idx="0">
                  <c:v>6 - 8 lat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2.515723270440253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Arkusz13!$C$87:$C$88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Arkusz13!$G$87:$G$88</c:f>
              <c:numCache>
                <c:formatCode>0.0</c:formatCode>
                <c:ptCount val="2"/>
                <c:pt idx="0">
                  <c:v>7.2</c:v>
                </c:pt>
                <c:pt idx="1">
                  <c:v>6</c:v>
                </c:pt>
              </c:numCache>
            </c:numRef>
          </c:val>
        </c:ser>
        <c:ser>
          <c:idx val="4"/>
          <c:order val="4"/>
          <c:tx>
            <c:strRef>
              <c:f>Arkusz13!$H$86</c:f>
              <c:strCache>
                <c:ptCount val="1"/>
                <c:pt idx="0">
                  <c:v>9 lat i więcej</c:v>
                </c:pt>
              </c:strCache>
            </c:strRef>
          </c:tx>
          <c:dLbls>
            <c:txPr>
              <a:bodyPr/>
              <a:lstStyle/>
              <a:p>
                <a:pPr>
                  <a:defRPr sz="800" baseline="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dLblPos val="outEnd"/>
            <c:showVal val="1"/>
          </c:dLbls>
          <c:cat>
            <c:strRef>
              <c:f>Arkusz13!$C$87:$C$88</c:f>
              <c:strCache>
                <c:ptCount val="2"/>
                <c:pt idx="0">
                  <c:v>Miasta</c:v>
                </c:pt>
                <c:pt idx="1">
                  <c:v>Wieś</c:v>
                </c:pt>
              </c:strCache>
            </c:strRef>
          </c:cat>
          <c:val>
            <c:numRef>
              <c:f>Arkusz13!$H$87:$H$88</c:f>
              <c:numCache>
                <c:formatCode>0.0</c:formatCode>
                <c:ptCount val="2"/>
                <c:pt idx="0">
                  <c:v>31.9</c:v>
                </c:pt>
                <c:pt idx="1">
                  <c:v>38.9</c:v>
                </c:pt>
              </c:numCache>
            </c:numRef>
          </c:val>
        </c:ser>
        <c:axId val="164546432"/>
        <c:axId val="164547968"/>
      </c:barChart>
      <c:catAx>
        <c:axId val="16454643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4547968"/>
        <c:crosses val="autoZero"/>
        <c:auto val="1"/>
        <c:lblAlgn val="ctr"/>
        <c:lblOffset val="100"/>
      </c:catAx>
      <c:valAx>
        <c:axId val="16454796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  <c:layout>
            <c:manualLayout>
              <c:xMode val="edge"/>
              <c:yMode val="edge"/>
              <c:x val="5.2789115646258496E-2"/>
              <c:y val="0.75777518376240693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45464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7535783027121621"/>
          <c:y val="0.80172548040000102"/>
          <c:w val="0.8246421697287839"/>
          <c:h val="0.14090023677853641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14827646544181991"/>
          <c:y val="4.8245614035087717E-2"/>
          <c:w val="0.80331869407413181"/>
          <c:h val="0.75370251415941558"/>
        </c:manualLayout>
      </c:layout>
      <c:bar3DChart>
        <c:barDir val="col"/>
        <c:grouping val="clustered"/>
        <c:ser>
          <c:idx val="0"/>
          <c:order val="0"/>
          <c:tx>
            <c:strRef>
              <c:f>Arkusz1!$V$39</c:f>
              <c:strCache>
                <c:ptCount val="1"/>
                <c:pt idx="0">
                  <c:v>Mężczyźni</c:v>
                </c:pt>
              </c:strCache>
            </c:strRef>
          </c:tx>
          <c:cat>
            <c:strRef>
              <c:f>Arkusz1!$W$38:$Z$38</c:f>
              <c:strCache>
                <c:ptCount val="4"/>
                <c:pt idx="0">
                  <c:v>50 - 54</c:v>
                </c:pt>
                <c:pt idx="1">
                  <c:v>55 - 59</c:v>
                </c:pt>
                <c:pt idx="2">
                  <c:v>60 - 64</c:v>
                </c:pt>
                <c:pt idx="3">
                  <c:v>65 - 69</c:v>
                </c:pt>
              </c:strCache>
            </c:strRef>
          </c:cat>
          <c:val>
            <c:numRef>
              <c:f>Arkusz1!$W$39:$Z$39</c:f>
              <c:numCache>
                <c:formatCode>0.0</c:formatCode>
                <c:ptCount val="4"/>
                <c:pt idx="0">
                  <c:v>77.448682295182493</c:v>
                </c:pt>
                <c:pt idx="1">
                  <c:v>65.169257242378876</c:v>
                </c:pt>
                <c:pt idx="2">
                  <c:v>33.252899618351179</c:v>
                </c:pt>
                <c:pt idx="3">
                  <c:v>15.067138667755549</c:v>
                </c:pt>
              </c:numCache>
            </c:numRef>
          </c:val>
        </c:ser>
        <c:ser>
          <c:idx val="1"/>
          <c:order val="1"/>
          <c:tx>
            <c:strRef>
              <c:f>Arkusz1!$V$40</c:f>
              <c:strCache>
                <c:ptCount val="1"/>
                <c:pt idx="0">
                  <c:v>Kobiety</c:v>
                </c:pt>
              </c:strCache>
            </c:strRef>
          </c:tx>
          <c:cat>
            <c:strRef>
              <c:f>Arkusz1!$W$38:$Z$38</c:f>
              <c:strCache>
                <c:ptCount val="4"/>
                <c:pt idx="0">
                  <c:v>50 - 54</c:v>
                </c:pt>
                <c:pt idx="1">
                  <c:v>55 - 59</c:v>
                </c:pt>
                <c:pt idx="2">
                  <c:v>60 - 64</c:v>
                </c:pt>
                <c:pt idx="3">
                  <c:v>65 - 69</c:v>
                </c:pt>
              </c:strCache>
            </c:strRef>
          </c:cat>
          <c:val>
            <c:numRef>
              <c:f>Arkusz1!$W$40:$Z$40</c:f>
              <c:numCache>
                <c:formatCode>0.0</c:formatCode>
                <c:ptCount val="4"/>
                <c:pt idx="0">
                  <c:v>70.551905204136503</c:v>
                </c:pt>
                <c:pt idx="1">
                  <c:v>40.298745188528279</c:v>
                </c:pt>
                <c:pt idx="2">
                  <c:v>14.132935442156548</c:v>
                </c:pt>
                <c:pt idx="3">
                  <c:v>7.4954319969889607</c:v>
                </c:pt>
              </c:numCache>
            </c:numRef>
          </c:val>
        </c:ser>
        <c:shape val="box"/>
        <c:axId val="147692160"/>
        <c:axId val="147949824"/>
        <c:axId val="0"/>
      </c:bar3DChart>
      <c:catAx>
        <c:axId val="147692160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7949824"/>
        <c:crosses val="autoZero"/>
        <c:auto val="1"/>
        <c:lblAlgn val="ctr"/>
        <c:lblOffset val="100"/>
      </c:catAx>
      <c:valAx>
        <c:axId val="147949824"/>
        <c:scaling>
          <c:orientation val="minMax"/>
          <c:max val="100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/>
                  <a:t>%</a:t>
                </a:r>
              </a:p>
            </c:rich>
          </c:tx>
          <c:layout>
            <c:manualLayout>
              <c:xMode val="edge"/>
              <c:yMode val="edge"/>
              <c:x val="2.005491887771466E-3"/>
              <c:y val="0.40868213841690826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7692160"/>
        <c:crosses val="autoZero"/>
        <c:crossBetween val="between"/>
        <c:majorUnit val="20"/>
      </c:valAx>
    </c:plotArea>
    <c:legend>
      <c:legendPos val="b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AngAx val="1"/>
    </c:view3D>
    <c:plotArea>
      <c:layout>
        <c:manualLayout>
          <c:layoutTarget val="inner"/>
          <c:xMode val="edge"/>
          <c:yMode val="edge"/>
          <c:x val="0.16188583569910903"/>
          <c:y val="4.8404840484048396E-2"/>
          <c:w val="0.78822754298569819"/>
          <c:h val="0.75288965116984308"/>
        </c:manualLayout>
      </c:layout>
      <c:bar3DChart>
        <c:barDir val="col"/>
        <c:grouping val="clustered"/>
        <c:ser>
          <c:idx val="0"/>
          <c:order val="0"/>
          <c:tx>
            <c:strRef>
              <c:f>Arkusz1!$V$44</c:f>
              <c:strCache>
                <c:ptCount val="1"/>
                <c:pt idx="0">
                  <c:v>Miasta</c:v>
                </c:pt>
              </c:strCache>
            </c:strRef>
          </c:tx>
          <c:cat>
            <c:strRef>
              <c:f>Arkusz1!$W$43:$Z$43</c:f>
              <c:strCache>
                <c:ptCount val="4"/>
                <c:pt idx="0">
                  <c:v>50 - 54</c:v>
                </c:pt>
                <c:pt idx="1">
                  <c:v>55 - 59</c:v>
                </c:pt>
                <c:pt idx="2">
                  <c:v>60 - 64</c:v>
                </c:pt>
                <c:pt idx="3">
                  <c:v>65 - 69</c:v>
                </c:pt>
              </c:strCache>
            </c:strRef>
          </c:cat>
          <c:val>
            <c:numRef>
              <c:f>Arkusz1!$W$44:$Z$44</c:f>
              <c:numCache>
                <c:formatCode>0.0</c:formatCode>
                <c:ptCount val="4"/>
                <c:pt idx="0">
                  <c:v>73.618269398825291</c:v>
                </c:pt>
                <c:pt idx="1">
                  <c:v>52.226121590100071</c:v>
                </c:pt>
                <c:pt idx="2">
                  <c:v>22.733276836194428</c:v>
                </c:pt>
                <c:pt idx="3">
                  <c:v>9.5183895732904809</c:v>
                </c:pt>
              </c:numCache>
            </c:numRef>
          </c:val>
        </c:ser>
        <c:ser>
          <c:idx val="1"/>
          <c:order val="1"/>
          <c:tx>
            <c:strRef>
              <c:f>Arkusz1!$V$45</c:f>
              <c:strCache>
                <c:ptCount val="1"/>
                <c:pt idx="0">
                  <c:v>Wieś</c:v>
                </c:pt>
              </c:strCache>
            </c:strRef>
          </c:tx>
          <c:cat>
            <c:strRef>
              <c:f>Arkusz1!$W$43:$Z$43</c:f>
              <c:strCache>
                <c:ptCount val="4"/>
                <c:pt idx="0">
                  <c:v>50 - 54</c:v>
                </c:pt>
                <c:pt idx="1">
                  <c:v>55 - 59</c:v>
                </c:pt>
                <c:pt idx="2">
                  <c:v>60 - 64</c:v>
                </c:pt>
                <c:pt idx="3">
                  <c:v>65 - 69</c:v>
                </c:pt>
              </c:strCache>
            </c:strRef>
          </c:cat>
          <c:val>
            <c:numRef>
              <c:f>Arkusz1!$W$45:$Z$45</c:f>
              <c:numCache>
                <c:formatCode>0.0</c:formatCode>
                <c:ptCount val="4"/>
                <c:pt idx="0">
                  <c:v>74.44650378785748</c:v>
                </c:pt>
                <c:pt idx="1">
                  <c:v>52.056201590847223</c:v>
                </c:pt>
                <c:pt idx="2">
                  <c:v>23.365940648465614</c:v>
                </c:pt>
                <c:pt idx="3">
                  <c:v>13.255487405671754</c:v>
                </c:pt>
              </c:numCache>
            </c:numRef>
          </c:val>
        </c:ser>
        <c:shape val="box"/>
        <c:axId val="148205952"/>
        <c:axId val="148207488"/>
        <c:axId val="0"/>
      </c:bar3DChart>
      <c:catAx>
        <c:axId val="148205952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8207488"/>
        <c:crosses val="autoZero"/>
        <c:auto val="1"/>
        <c:lblAlgn val="ctr"/>
        <c:lblOffset val="100"/>
      </c:catAx>
      <c:valAx>
        <c:axId val="148207488"/>
        <c:scaling>
          <c:orientation val="minMax"/>
          <c:max val="100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/>
                  <a:t>%</a:t>
                </a:r>
              </a:p>
            </c:rich>
          </c:tx>
          <c:layout>
            <c:manualLayout>
              <c:xMode val="edge"/>
              <c:yMode val="edge"/>
              <c:x val="2.0022497187851566E-3"/>
              <c:y val="0.40771601569605781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sz="900"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8205952"/>
        <c:crosses val="autoZero"/>
        <c:crossBetween val="between"/>
        <c:majorUnit val="20"/>
      </c:valAx>
    </c:plotArea>
    <c:legend>
      <c:legendPos val="b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42719195573526281"/>
          <c:y val="5.0925925925925923E-2"/>
          <c:w val="0.47821344967014257"/>
          <c:h val="0.64989610673665787"/>
        </c:manualLayout>
      </c:layout>
      <c:barChart>
        <c:barDir val="bar"/>
        <c:grouping val="clustered"/>
        <c:ser>
          <c:idx val="0"/>
          <c:order val="0"/>
          <c:tx>
            <c:strRef>
              <c:f>Arkusz2!$O$20</c:f>
              <c:strCache>
                <c:ptCount val="1"/>
                <c:pt idx="0">
                  <c:v>Kobiety</c:v>
                </c:pt>
              </c:strCache>
            </c:strRef>
          </c:tx>
          <c:cat>
            <c:strRef>
              <c:f>Arkusz2!$P$19:$T$19</c:f>
              <c:strCache>
                <c:ptCount val="5"/>
                <c:pt idx="0">
                  <c:v>Gimnazjalne i niższe*</c:v>
                </c:pt>
                <c:pt idx="1">
                  <c:v>Zasadnicze zawodowe</c:v>
                </c:pt>
                <c:pt idx="2">
                  <c:v>Średnie ogólnokształcące</c:v>
                </c:pt>
                <c:pt idx="3">
                  <c:v>Policealne i średnie zawodowe</c:v>
                </c:pt>
                <c:pt idx="4">
                  <c:v>Wyższe</c:v>
                </c:pt>
              </c:strCache>
            </c:strRef>
          </c:cat>
          <c:val>
            <c:numRef>
              <c:f>Arkusz2!$P$20:$T$20</c:f>
              <c:numCache>
                <c:formatCode>0.0</c:formatCode>
                <c:ptCount val="5"/>
                <c:pt idx="0">
                  <c:v>20.315737069191389</c:v>
                </c:pt>
                <c:pt idx="1">
                  <c:v>34.704274596455733</c:v>
                </c:pt>
                <c:pt idx="2">
                  <c:v>35.905282331511863</c:v>
                </c:pt>
                <c:pt idx="3">
                  <c:v>44.235519311755539</c:v>
                </c:pt>
                <c:pt idx="4">
                  <c:v>58.730260087177165</c:v>
                </c:pt>
              </c:numCache>
            </c:numRef>
          </c:val>
        </c:ser>
        <c:ser>
          <c:idx val="1"/>
          <c:order val="1"/>
          <c:tx>
            <c:strRef>
              <c:f>Arkusz2!$O$21</c:f>
              <c:strCache>
                <c:ptCount val="1"/>
                <c:pt idx="0">
                  <c:v>Mężczyźni</c:v>
                </c:pt>
              </c:strCache>
            </c:strRef>
          </c:tx>
          <c:cat>
            <c:strRef>
              <c:f>Arkusz2!$P$19:$T$19</c:f>
              <c:strCache>
                <c:ptCount val="5"/>
                <c:pt idx="0">
                  <c:v>Gimnazjalne i niższe*</c:v>
                </c:pt>
                <c:pt idx="1">
                  <c:v>Zasadnicze zawodowe</c:v>
                </c:pt>
                <c:pt idx="2">
                  <c:v>Średnie ogólnokształcące</c:v>
                </c:pt>
                <c:pt idx="3">
                  <c:v>Policealne i średnie zawodowe</c:v>
                </c:pt>
                <c:pt idx="4">
                  <c:v>Wyższe</c:v>
                </c:pt>
              </c:strCache>
            </c:strRef>
          </c:cat>
          <c:val>
            <c:numRef>
              <c:f>Arkusz2!$P$21:$T$21</c:f>
              <c:numCache>
                <c:formatCode>0.0</c:formatCode>
                <c:ptCount val="5"/>
                <c:pt idx="0">
                  <c:v>37.833311633162801</c:v>
                </c:pt>
                <c:pt idx="1">
                  <c:v>54.319251022233445</c:v>
                </c:pt>
                <c:pt idx="2">
                  <c:v>52.470759841427508</c:v>
                </c:pt>
                <c:pt idx="3">
                  <c:v>59.942339261685497</c:v>
                </c:pt>
                <c:pt idx="4">
                  <c:v>70.126910117606144</c:v>
                </c:pt>
              </c:numCache>
            </c:numRef>
          </c:val>
        </c:ser>
        <c:axId val="149726720"/>
        <c:axId val="149728640"/>
      </c:barChart>
      <c:catAx>
        <c:axId val="149726720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pl-PL"/>
          </a:p>
        </c:txPr>
        <c:crossAx val="149728640"/>
        <c:crosses val="autoZero"/>
        <c:auto val="1"/>
        <c:lblAlgn val="ctr"/>
        <c:lblOffset val="100"/>
      </c:catAx>
      <c:valAx>
        <c:axId val="149728640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%</a:t>
                </a:r>
              </a:p>
            </c:rich>
          </c:tx>
          <c:layout>
            <c:manualLayout>
              <c:xMode val="edge"/>
              <c:yMode val="edge"/>
              <c:x val="0.9359157976874517"/>
              <c:y val="0.712179571303589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49726720"/>
        <c:crosses val="autoZero"/>
        <c:crossBetween val="between"/>
        <c:majorUnit val="20"/>
      </c:valAx>
    </c:plotArea>
    <c:legend>
      <c:legendPos val="b"/>
      <c:layout>
        <c:manualLayout>
          <c:xMode val="edge"/>
          <c:yMode val="edge"/>
          <c:x val="0.38461729445981485"/>
          <c:y val="0.81035104986876638"/>
          <c:w val="0.51905369936865997"/>
          <c:h val="7.8537839020122513E-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42719195573526281"/>
          <c:y val="5.0925925925925923E-2"/>
          <c:w val="0.46920444066113298"/>
          <c:h val="0.64989610673665787"/>
        </c:manualLayout>
      </c:layout>
      <c:barChart>
        <c:barDir val="bar"/>
        <c:grouping val="clustered"/>
        <c:ser>
          <c:idx val="0"/>
          <c:order val="0"/>
          <c:tx>
            <c:strRef>
              <c:f>Arkusz2!$N$45</c:f>
              <c:strCache>
                <c:ptCount val="1"/>
                <c:pt idx="0">
                  <c:v>Wieś</c:v>
                </c:pt>
              </c:strCache>
            </c:strRef>
          </c:tx>
          <c:cat>
            <c:strRef>
              <c:f>Arkusz2!$O$44:$S$44</c:f>
              <c:strCache>
                <c:ptCount val="5"/>
                <c:pt idx="0">
                  <c:v>Gimnazjalne i niższe*</c:v>
                </c:pt>
                <c:pt idx="1">
                  <c:v>Zasadnicze zawodowe</c:v>
                </c:pt>
                <c:pt idx="2">
                  <c:v>Średnie ogólnokształcące</c:v>
                </c:pt>
                <c:pt idx="3">
                  <c:v>Policealne i średnie zawodowe</c:v>
                </c:pt>
                <c:pt idx="4">
                  <c:v>Wyższe</c:v>
                </c:pt>
              </c:strCache>
            </c:strRef>
          </c:cat>
          <c:val>
            <c:numRef>
              <c:f>Arkusz2!$O$45:$S$45</c:f>
              <c:numCache>
                <c:formatCode>0.0</c:formatCode>
                <c:ptCount val="5"/>
                <c:pt idx="0">
                  <c:v>31.059374734997313</c:v>
                </c:pt>
                <c:pt idx="1">
                  <c:v>53.316909041050494</c:v>
                </c:pt>
                <c:pt idx="2">
                  <c:v>47.704870556354244</c:v>
                </c:pt>
                <c:pt idx="3">
                  <c:v>58.427534770502298</c:v>
                </c:pt>
                <c:pt idx="4">
                  <c:v>66.325968359237308</c:v>
                </c:pt>
              </c:numCache>
            </c:numRef>
          </c:val>
        </c:ser>
        <c:ser>
          <c:idx val="1"/>
          <c:order val="1"/>
          <c:tx>
            <c:strRef>
              <c:f>Arkusz2!$N$46</c:f>
              <c:strCache>
                <c:ptCount val="1"/>
                <c:pt idx="0">
                  <c:v>Miasta</c:v>
                </c:pt>
              </c:strCache>
            </c:strRef>
          </c:tx>
          <c:cat>
            <c:strRef>
              <c:f>Arkusz2!$O$44:$S$44</c:f>
              <c:strCache>
                <c:ptCount val="5"/>
                <c:pt idx="0">
                  <c:v>Gimnazjalne i niższe*</c:v>
                </c:pt>
                <c:pt idx="1">
                  <c:v>Zasadnicze zawodowe</c:v>
                </c:pt>
                <c:pt idx="2">
                  <c:v>Średnie ogólnokształcące</c:v>
                </c:pt>
                <c:pt idx="3">
                  <c:v>Policealne i średnie zawodowe</c:v>
                </c:pt>
                <c:pt idx="4">
                  <c:v>Wyższe</c:v>
                </c:pt>
              </c:strCache>
            </c:strRef>
          </c:cat>
          <c:val>
            <c:numRef>
              <c:f>Arkusz2!$O$46:$S$46</c:f>
              <c:numCache>
                <c:formatCode>0.0</c:formatCode>
                <c:ptCount val="5"/>
                <c:pt idx="0">
                  <c:v>23.259791869107627</c:v>
                </c:pt>
                <c:pt idx="1">
                  <c:v>42.065883321675962</c:v>
                </c:pt>
                <c:pt idx="2">
                  <c:v>37.927113383135158</c:v>
                </c:pt>
                <c:pt idx="3">
                  <c:v>48.790303555902057</c:v>
                </c:pt>
                <c:pt idx="4">
                  <c:v>63.483326851359998</c:v>
                </c:pt>
              </c:numCache>
            </c:numRef>
          </c:val>
        </c:ser>
        <c:axId val="155066368"/>
        <c:axId val="155069824"/>
      </c:barChart>
      <c:catAx>
        <c:axId val="155066368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</a:defRPr>
            </a:pPr>
            <a:endParaRPr lang="pl-PL"/>
          </a:p>
        </c:txPr>
        <c:crossAx val="155069824"/>
        <c:crosses val="autoZero"/>
        <c:auto val="1"/>
        <c:lblAlgn val="ctr"/>
        <c:lblOffset val="100"/>
      </c:catAx>
      <c:valAx>
        <c:axId val="155069824"/>
        <c:scaling>
          <c:orientation val="minMax"/>
          <c:max val="80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%</a:t>
                </a:r>
              </a:p>
            </c:rich>
          </c:tx>
          <c:layout>
            <c:manualLayout>
              <c:xMode val="edge"/>
              <c:yMode val="edge"/>
              <c:x val="0.92015003192168543"/>
              <c:y val="0.712179571303589"/>
            </c:manualLayout>
          </c:layout>
        </c:title>
        <c:numFmt formatCode="0.0" sourceLinked="1"/>
        <c:tickLblPos val="nextTo"/>
        <c:txPr>
          <a:bodyPr/>
          <a:lstStyle/>
          <a:p>
            <a:pPr>
              <a:defRPr sz="800" baseline="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55066368"/>
        <c:crosses val="autoZero"/>
        <c:crossBetween val="between"/>
        <c:majorUnit val="20"/>
      </c:valAx>
    </c:plotArea>
    <c:legend>
      <c:legendPos val="b"/>
      <c:layout>
        <c:manualLayout>
          <c:xMode val="edge"/>
          <c:yMode val="edge"/>
          <c:x val="0.416112648081152"/>
          <c:y val="0.81498067949839725"/>
          <c:w val="0.36597254735050111"/>
          <c:h val="7.8537839020122513E-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'wykres2 wskaźnik zatrudnienia'!$L$2</c:f>
              <c:strCache>
                <c:ptCount val="1"/>
                <c:pt idx="0">
                  <c:v>Wskaźnik zatrudnienia osób powyżej 50 roku życia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pl-PL"/>
              </a:p>
            </c:txPr>
            <c:showVal val="1"/>
          </c:dLbls>
          <c:cat>
            <c:strRef>
              <c:f>'wykres2 wskaźnik zatrudnienia'!$K$3:$K$19</c:f>
              <c:strCache>
                <c:ptCount val="17"/>
                <c:pt idx="0">
                  <c:v>Zachodniopomorskie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'wykres2 wskaźnik zatrudnienia'!$L$3:$L$19</c:f>
              <c:numCache>
                <c:formatCode>0.0%</c:formatCode>
                <c:ptCount val="17"/>
                <c:pt idx="0">
                  <c:v>0.39352923257389438</c:v>
                </c:pt>
                <c:pt idx="1">
                  <c:v>0.42010229991699038</c:v>
                </c:pt>
                <c:pt idx="2">
                  <c:v>0.38640500449819026</c:v>
                </c:pt>
                <c:pt idx="3">
                  <c:v>0.41016229602441456</c:v>
                </c:pt>
                <c:pt idx="4">
                  <c:v>0.35594359765765993</c:v>
                </c:pt>
                <c:pt idx="5">
                  <c:v>0.41424769788050481</c:v>
                </c:pt>
                <c:pt idx="6">
                  <c:v>0.43548448447687543</c:v>
                </c:pt>
                <c:pt idx="7">
                  <c:v>0.43806013314537073</c:v>
                </c:pt>
                <c:pt idx="8">
                  <c:v>0.40766881487760814</c:v>
                </c:pt>
                <c:pt idx="9">
                  <c:v>0.4627461079357813</c:v>
                </c:pt>
                <c:pt idx="10">
                  <c:v>0.43726880352497594</c:v>
                </c:pt>
                <c:pt idx="11">
                  <c:v>0.40580523894740972</c:v>
                </c:pt>
                <c:pt idx="12">
                  <c:v>0.39532868565127643</c:v>
                </c:pt>
                <c:pt idx="13">
                  <c:v>0.42060938516448376</c:v>
                </c:pt>
                <c:pt idx="14">
                  <c:v>0.38676209476700646</c:v>
                </c:pt>
                <c:pt idx="15">
                  <c:v>0.39879552639411397</c:v>
                </c:pt>
                <c:pt idx="16">
                  <c:v>0.41167086282349558</c:v>
                </c:pt>
              </c:numCache>
            </c:numRef>
          </c:val>
        </c:ser>
        <c:gapWidth val="90"/>
        <c:axId val="155115904"/>
        <c:axId val="155117440"/>
      </c:barChart>
      <c:catAx>
        <c:axId val="155115904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55117440"/>
        <c:crosses val="autoZero"/>
        <c:auto val="1"/>
        <c:lblAlgn val="ctr"/>
        <c:lblOffset val="100"/>
      </c:catAx>
      <c:valAx>
        <c:axId val="155117440"/>
        <c:scaling>
          <c:orientation val="minMax"/>
        </c:scaling>
        <c:delete val="1"/>
        <c:axPos val="b"/>
        <c:majorGridlines>
          <c:spPr>
            <a:ln>
              <a:gradFill>
                <a:gsLst>
                  <a:gs pos="0">
                    <a:srgbClr val="4F81BD">
                      <a:tint val="66000"/>
                      <a:satMod val="160000"/>
                      <a:alpha val="2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a:ln>
          </c:spPr>
        </c:majorGridlines>
        <c:numFmt formatCode="0.0%" sourceLinked="1"/>
        <c:tickLblPos val="none"/>
        <c:crossAx val="1551159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0.13840155131420639"/>
          <c:y val="8.5227272727273221E-2"/>
          <c:w val="0.38614517732847342"/>
          <c:h val="0.88257575757575768"/>
        </c:manualLayout>
      </c:layout>
      <c:pieChart>
        <c:varyColors val="1"/>
        <c:ser>
          <c:idx val="0"/>
          <c:order val="0"/>
          <c:dLbls>
            <c:numFmt formatCode="0.0%" sourceLinked="0"/>
            <c:showPercent val="1"/>
            <c:showLeaderLines val="1"/>
          </c:dLbls>
          <c:cat>
            <c:strRef>
              <c:f>wykresy!$E$72:$G$72</c:f>
              <c:strCache>
                <c:ptCount val="3"/>
                <c:pt idx="0">
                  <c:v>Pracownicy najemni</c:v>
                </c:pt>
                <c:pt idx="1">
                  <c:v>Pracujący na własny rachunek</c:v>
                </c:pt>
                <c:pt idx="2">
                  <c:v>Pomagający członkowie rodzin</c:v>
                </c:pt>
              </c:strCache>
            </c:strRef>
          </c:cat>
          <c:val>
            <c:numRef>
              <c:f>wykresy!$E$75:$G$75</c:f>
              <c:numCache>
                <c:formatCode>0.0</c:formatCode>
                <c:ptCount val="3"/>
                <c:pt idx="0">
                  <c:v>1224.2909999999999</c:v>
                </c:pt>
                <c:pt idx="1">
                  <c:v>366.29199999999628</c:v>
                </c:pt>
                <c:pt idx="2">
                  <c:v>74.86999999999999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55752909817218665"/>
          <c:y val="6.6581545281632945E-2"/>
          <c:w val="0.41858358226407766"/>
          <c:h val="0.86683637092101251"/>
        </c:manualLayout>
      </c:layout>
      <c:txPr>
        <a:bodyPr/>
        <a:lstStyle/>
        <a:p>
          <a:pPr>
            <a:defRPr sz="900"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solidFill>
        <a:schemeClr val="bg1"/>
      </a:solidFill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/>
      <c:barChart>
        <c:barDir val="bar"/>
        <c:grouping val="stacked"/>
        <c:ser>
          <c:idx val="0"/>
          <c:order val="0"/>
          <c:tx>
            <c:strRef>
              <c:f>tablica4!$AE$4</c:f>
              <c:strCache>
                <c:ptCount val="1"/>
                <c:pt idx="0">
                  <c:v>przedstawiciele władz publicznych, wyżsi urzędnicy i kierownicy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tablica4!$AE$5:$AE$21</c:f>
              <c:numCache>
                <c:formatCode>0.0%</c:formatCode>
                <c:ptCount val="17"/>
                <c:pt idx="0">
                  <c:v>7.9730572821592322E-2</c:v>
                </c:pt>
                <c:pt idx="1">
                  <c:v>7.3132034021929027E-2</c:v>
                </c:pt>
                <c:pt idx="2">
                  <c:v>7.2190465877184168E-2</c:v>
                </c:pt>
                <c:pt idx="3">
                  <c:v>5.9237581825183967E-2</c:v>
                </c:pt>
                <c:pt idx="4">
                  <c:v>7.697004252488536E-2</c:v>
                </c:pt>
                <c:pt idx="5">
                  <c:v>8.2275169586758817E-2</c:v>
                </c:pt>
                <c:pt idx="6">
                  <c:v>6.2644119907763279E-2</c:v>
                </c:pt>
                <c:pt idx="7">
                  <c:v>6.6552198491831596E-2</c:v>
                </c:pt>
                <c:pt idx="8">
                  <c:v>7.1791281815523536E-2</c:v>
                </c:pt>
                <c:pt idx="9">
                  <c:v>8.8183057997451034E-2</c:v>
                </c:pt>
                <c:pt idx="10">
                  <c:v>7.1526234298129529E-2</c:v>
                </c:pt>
                <c:pt idx="11">
                  <c:v>7.0058675111542013E-2</c:v>
                </c:pt>
                <c:pt idx="12">
                  <c:v>7.7812095247584534E-2</c:v>
                </c:pt>
                <c:pt idx="13">
                  <c:v>5.9761178224581823E-2</c:v>
                </c:pt>
                <c:pt idx="14">
                  <c:v>6.7311882442361332E-2</c:v>
                </c:pt>
                <c:pt idx="15">
                  <c:v>7.7046689258244497E-2</c:v>
                </c:pt>
                <c:pt idx="16">
                  <c:v>7.4503492039494523E-2</c:v>
                </c:pt>
              </c:numCache>
            </c:numRef>
          </c:val>
        </c:ser>
        <c:ser>
          <c:idx val="1"/>
          <c:order val="1"/>
          <c:tx>
            <c:strRef>
              <c:f>tablica4!$AF$4</c:f>
              <c:strCache>
                <c:ptCount val="1"/>
                <c:pt idx="0">
                  <c:v>specjaliści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tablica4!$AF$5:$AF$21</c:f>
              <c:numCache>
                <c:formatCode>0.0%</c:formatCode>
                <c:ptCount val="17"/>
                <c:pt idx="0">
                  <c:v>0.13950828384592645</c:v>
                </c:pt>
                <c:pt idx="1">
                  <c:v>0.13082517994600887</c:v>
                </c:pt>
                <c:pt idx="2">
                  <c:v>0.13168784759017041</c:v>
                </c:pt>
                <c:pt idx="3">
                  <c:v>0.11451675009626502</c:v>
                </c:pt>
                <c:pt idx="4">
                  <c:v>0.14385289715629893</c:v>
                </c:pt>
                <c:pt idx="5">
                  <c:v>0.15050568928885028</c:v>
                </c:pt>
                <c:pt idx="6">
                  <c:v>0.12814443435120093</c:v>
                </c:pt>
                <c:pt idx="7">
                  <c:v>0.11038648070608792</c:v>
                </c:pt>
                <c:pt idx="8">
                  <c:v>0.11865256822836125</c:v>
                </c:pt>
                <c:pt idx="9">
                  <c:v>0.18457122834499604</c:v>
                </c:pt>
                <c:pt idx="10">
                  <c:v>0.15090652548510394</c:v>
                </c:pt>
                <c:pt idx="11">
                  <c:v>0.12707638123284326</c:v>
                </c:pt>
                <c:pt idx="12">
                  <c:v>0.12282554548171981</c:v>
                </c:pt>
                <c:pt idx="13">
                  <c:v>0.12719512138481318</c:v>
                </c:pt>
                <c:pt idx="14">
                  <c:v>0.12487458829490751</c:v>
                </c:pt>
                <c:pt idx="15">
                  <c:v>0.1458030767575709</c:v>
                </c:pt>
                <c:pt idx="16">
                  <c:v>0.1418937647251515</c:v>
                </c:pt>
              </c:numCache>
            </c:numRef>
          </c:val>
        </c:ser>
        <c:ser>
          <c:idx val="2"/>
          <c:order val="2"/>
          <c:tx>
            <c:strRef>
              <c:f>tablica4!$AG$4</c:f>
              <c:strCache>
                <c:ptCount val="1"/>
                <c:pt idx="0">
                  <c:v>technicy i inny średni personel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tablica4!$AG$5:$AG$21</c:f>
              <c:numCache>
                <c:formatCode>0.0%</c:formatCode>
                <c:ptCount val="17"/>
                <c:pt idx="0">
                  <c:v>0.14910344986944793</c:v>
                </c:pt>
                <c:pt idx="1">
                  <c:v>0.1244119245287405</c:v>
                </c:pt>
                <c:pt idx="2">
                  <c:v>0.12774301338923141</c:v>
                </c:pt>
                <c:pt idx="3">
                  <c:v>0.11067385444744</c:v>
                </c:pt>
                <c:pt idx="4">
                  <c:v>0.14163400090276293</c:v>
                </c:pt>
                <c:pt idx="5">
                  <c:v>0.14307162452968367</c:v>
                </c:pt>
                <c:pt idx="6">
                  <c:v>0.11097232897770946</c:v>
                </c:pt>
                <c:pt idx="7">
                  <c:v>0.11125001255133496</c:v>
                </c:pt>
                <c:pt idx="8">
                  <c:v>0.13291469887574744</c:v>
                </c:pt>
                <c:pt idx="9">
                  <c:v>0.13548139979869564</c:v>
                </c:pt>
                <c:pt idx="10">
                  <c:v>0.11605961091826286</c:v>
                </c:pt>
                <c:pt idx="11">
                  <c:v>0.12542267537791063</c:v>
                </c:pt>
                <c:pt idx="12">
                  <c:v>0.133775032380195</c:v>
                </c:pt>
                <c:pt idx="13">
                  <c:v>0.10640620137756802</c:v>
                </c:pt>
                <c:pt idx="14">
                  <c:v>0.12949075247023253</c:v>
                </c:pt>
                <c:pt idx="15">
                  <c:v>0.13671601850357701</c:v>
                </c:pt>
                <c:pt idx="16">
                  <c:v>0.1287936294952397</c:v>
                </c:pt>
              </c:numCache>
            </c:numRef>
          </c:val>
        </c:ser>
        <c:ser>
          <c:idx val="3"/>
          <c:order val="3"/>
          <c:tx>
            <c:strRef>
              <c:f>tablica4!$AH$4</c:f>
              <c:strCache>
                <c:ptCount val="1"/>
                <c:pt idx="0">
                  <c:v>pracownicy biurowi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tablica4!$AH$5:$AH$21</c:f>
              <c:numCache>
                <c:formatCode>0.0%</c:formatCode>
                <c:ptCount val="17"/>
                <c:pt idx="0">
                  <c:v>5.3509947547195957E-2</c:v>
                </c:pt>
                <c:pt idx="1">
                  <c:v>5.2503261839242837E-2</c:v>
                </c:pt>
                <c:pt idx="2">
                  <c:v>4.9967899878560984E-2</c:v>
                </c:pt>
                <c:pt idx="3">
                  <c:v>3.6418944936465192E-2</c:v>
                </c:pt>
                <c:pt idx="4">
                  <c:v>6.1549426270401254E-2</c:v>
                </c:pt>
                <c:pt idx="5">
                  <c:v>5.6287790208326832E-2</c:v>
                </c:pt>
                <c:pt idx="6">
                  <c:v>4.4126895395150585E-2</c:v>
                </c:pt>
                <c:pt idx="7">
                  <c:v>4.2016848912050313E-2</c:v>
                </c:pt>
                <c:pt idx="8">
                  <c:v>5.0716763488946562E-2</c:v>
                </c:pt>
                <c:pt idx="9">
                  <c:v>6.2574931552495924E-2</c:v>
                </c:pt>
                <c:pt idx="10">
                  <c:v>4.8476013285717864E-2</c:v>
                </c:pt>
                <c:pt idx="11">
                  <c:v>5.1002212340271413E-2</c:v>
                </c:pt>
                <c:pt idx="12">
                  <c:v>5.2435986848659993E-2</c:v>
                </c:pt>
                <c:pt idx="13">
                  <c:v>4.2952621140976636E-2</c:v>
                </c:pt>
                <c:pt idx="14">
                  <c:v>5.2313149227261414E-2</c:v>
                </c:pt>
                <c:pt idx="15">
                  <c:v>5.5187994190737534E-2</c:v>
                </c:pt>
                <c:pt idx="16">
                  <c:v>5.3040205700654645E-2</c:v>
                </c:pt>
              </c:numCache>
            </c:numRef>
          </c:val>
        </c:ser>
        <c:ser>
          <c:idx val="4"/>
          <c:order val="4"/>
          <c:tx>
            <c:strRef>
              <c:f>tablica4!$AI$4</c:f>
              <c:strCache>
                <c:ptCount val="1"/>
                <c:pt idx="0">
                  <c:v>pracownicy usług osobistych i sprzedawcy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tablica4!$AI$5:$AI$21</c:f>
              <c:numCache>
                <c:formatCode>0.0%</c:formatCode>
                <c:ptCount val="17"/>
                <c:pt idx="0">
                  <c:v>0.13045613143240425</c:v>
                </c:pt>
                <c:pt idx="1">
                  <c:v>0.11130645015996785</c:v>
                </c:pt>
                <c:pt idx="2">
                  <c:v>0.1105791171306359</c:v>
                </c:pt>
                <c:pt idx="3">
                  <c:v>8.9664998074703892E-2</c:v>
                </c:pt>
                <c:pt idx="4">
                  <c:v>0.13272753189366404</c:v>
                </c:pt>
                <c:pt idx="5">
                  <c:v>0.12177944394651667</c:v>
                </c:pt>
                <c:pt idx="6">
                  <c:v>9.4664943050802391E-2</c:v>
                </c:pt>
                <c:pt idx="7">
                  <c:v>8.0213071462280711E-2</c:v>
                </c:pt>
                <c:pt idx="8">
                  <c:v>0.11131775818113428</c:v>
                </c:pt>
                <c:pt idx="9">
                  <c:v>0.11491794887649906</c:v>
                </c:pt>
                <c:pt idx="10">
                  <c:v>0.10556776465299803</c:v>
                </c:pt>
                <c:pt idx="11">
                  <c:v>0.11791625663147152</c:v>
                </c:pt>
                <c:pt idx="12">
                  <c:v>0.13252964033077613</c:v>
                </c:pt>
                <c:pt idx="13">
                  <c:v>9.0150343463055768E-2</c:v>
                </c:pt>
                <c:pt idx="14">
                  <c:v>0.11727894603496325</c:v>
                </c:pt>
                <c:pt idx="15">
                  <c:v>0.12980743370448194</c:v>
                </c:pt>
                <c:pt idx="16">
                  <c:v>0.11391545190728772</c:v>
                </c:pt>
              </c:numCache>
            </c:numRef>
          </c:val>
        </c:ser>
        <c:ser>
          <c:idx val="5"/>
          <c:order val="5"/>
          <c:tx>
            <c:strRef>
              <c:f>tablica4!$AJ$4</c:f>
              <c:strCache>
                <c:ptCount val="1"/>
                <c:pt idx="0">
                  <c:v>rolnicy, ogrodnicy, leśnicy i rybacy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tablica4!$AJ$5:$AJ$21</c:f>
              <c:numCache>
                <c:formatCode>0.0%</c:formatCode>
                <c:ptCount val="17"/>
                <c:pt idx="0">
                  <c:v>8.217991080712618E-2</c:v>
                </c:pt>
                <c:pt idx="1">
                  <c:v>0.16329246711281642</c:v>
                </c:pt>
                <c:pt idx="2">
                  <c:v>0.14496878940000124</c:v>
                </c:pt>
                <c:pt idx="3">
                  <c:v>0.29058914131690688</c:v>
                </c:pt>
                <c:pt idx="4">
                  <c:v>5.900743591571183E-2</c:v>
                </c:pt>
                <c:pt idx="5">
                  <c:v>8.732978766964361E-2</c:v>
                </c:pt>
                <c:pt idx="6">
                  <c:v>0.2714345608273358</c:v>
                </c:pt>
                <c:pt idx="7">
                  <c:v>0.30861724453012823</c:v>
                </c:pt>
                <c:pt idx="8">
                  <c:v>0.14085551886989595</c:v>
                </c:pt>
                <c:pt idx="9">
                  <c:v>0.14177822665141421</c:v>
                </c:pt>
                <c:pt idx="10">
                  <c:v>0.20585370726469038</c:v>
                </c:pt>
                <c:pt idx="11">
                  <c:v>0.18361684338258691</c:v>
                </c:pt>
                <c:pt idx="12">
                  <c:v>9.7877851947793165E-2</c:v>
                </c:pt>
                <c:pt idx="13">
                  <c:v>0.33312897397670344</c:v>
                </c:pt>
                <c:pt idx="14">
                  <c:v>0.16283759817582974</c:v>
                </c:pt>
                <c:pt idx="15">
                  <c:v>8.9687214243451135E-2</c:v>
                </c:pt>
                <c:pt idx="16">
                  <c:v>0.16154042408436511</c:v>
                </c:pt>
              </c:numCache>
            </c:numRef>
          </c:val>
        </c:ser>
        <c:ser>
          <c:idx val="6"/>
          <c:order val="6"/>
          <c:tx>
            <c:strRef>
              <c:f>tablica4!$AK$4</c:f>
              <c:strCache>
                <c:ptCount val="1"/>
                <c:pt idx="0">
                  <c:v>robotnicy przemysłowi i rzemieślnicy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tablica4!$AK$5:$AK$21</c:f>
              <c:numCache>
                <c:formatCode>0.0%</c:formatCode>
                <c:ptCount val="17"/>
                <c:pt idx="0">
                  <c:v>0.15881992744414064</c:v>
                </c:pt>
                <c:pt idx="1">
                  <c:v>0.16457976758850537</c:v>
                </c:pt>
                <c:pt idx="2">
                  <c:v>0.15848951524949337</c:v>
                </c:pt>
                <c:pt idx="3">
                  <c:v>0.14083172891798218</c:v>
                </c:pt>
                <c:pt idx="4">
                  <c:v>0.17739291568669374</c:v>
                </c:pt>
                <c:pt idx="5">
                  <c:v>0.17248031155738069</c:v>
                </c:pt>
                <c:pt idx="6">
                  <c:v>0.12190797288798826</c:v>
                </c:pt>
                <c:pt idx="7">
                  <c:v>0.13565482824753217</c:v>
                </c:pt>
                <c:pt idx="8">
                  <c:v>0.18373594683830277</c:v>
                </c:pt>
                <c:pt idx="9">
                  <c:v>0.11342189426964708</c:v>
                </c:pt>
                <c:pt idx="10">
                  <c:v>0.14360499962540271</c:v>
                </c:pt>
                <c:pt idx="11">
                  <c:v>0.15380204364007671</c:v>
                </c:pt>
                <c:pt idx="12">
                  <c:v>0.17410580850851837</c:v>
                </c:pt>
                <c:pt idx="13">
                  <c:v>0.1018870728773333</c:v>
                </c:pt>
                <c:pt idx="14">
                  <c:v>0.15935140613124157</c:v>
                </c:pt>
                <c:pt idx="15">
                  <c:v>0.16687173901349997</c:v>
                </c:pt>
                <c:pt idx="16">
                  <c:v>0.14912982491506133</c:v>
                </c:pt>
              </c:numCache>
            </c:numRef>
          </c:val>
        </c:ser>
        <c:ser>
          <c:idx val="7"/>
          <c:order val="7"/>
          <c:tx>
            <c:strRef>
              <c:f>tablica4!$AL$4</c:f>
              <c:strCache>
                <c:ptCount val="1"/>
                <c:pt idx="0">
                  <c:v>operatorzy i monterzy maszyn i urządzeń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tablica4!$AL$5:$AL$21</c:f>
              <c:numCache>
                <c:formatCode>0.0%</c:formatCode>
                <c:ptCount val="17"/>
                <c:pt idx="0">
                  <c:v>9.0457979989371065E-2</c:v>
                </c:pt>
                <c:pt idx="1">
                  <c:v>8.7019187460589079E-2</c:v>
                </c:pt>
                <c:pt idx="2">
                  <c:v>9.1303574329184789E-2</c:v>
                </c:pt>
                <c:pt idx="3">
                  <c:v>7.9322294955720046E-2</c:v>
                </c:pt>
                <c:pt idx="4">
                  <c:v>0.10166298434419024</c:v>
                </c:pt>
                <c:pt idx="5">
                  <c:v>8.4900295269769263E-2</c:v>
                </c:pt>
                <c:pt idx="6">
                  <c:v>7.2531619034309422E-2</c:v>
                </c:pt>
                <c:pt idx="7">
                  <c:v>7.2506551796849117E-2</c:v>
                </c:pt>
                <c:pt idx="8">
                  <c:v>9.4986834956325497E-2</c:v>
                </c:pt>
                <c:pt idx="9">
                  <c:v>6.6910226417816923E-2</c:v>
                </c:pt>
                <c:pt idx="10">
                  <c:v>7.3374247683739985E-2</c:v>
                </c:pt>
                <c:pt idx="11">
                  <c:v>7.9540661926289932E-2</c:v>
                </c:pt>
                <c:pt idx="12">
                  <c:v>0.1006675301384876</c:v>
                </c:pt>
                <c:pt idx="13">
                  <c:v>6.3527892729915894E-2</c:v>
                </c:pt>
                <c:pt idx="14">
                  <c:v>8.5832277679250057E-2</c:v>
                </c:pt>
                <c:pt idx="15">
                  <c:v>9.6780700338873663E-2</c:v>
                </c:pt>
                <c:pt idx="16">
                  <c:v>8.254169238974772E-2</c:v>
                </c:pt>
              </c:numCache>
            </c:numRef>
          </c:val>
        </c:ser>
        <c:ser>
          <c:idx val="8"/>
          <c:order val="8"/>
          <c:tx>
            <c:strRef>
              <c:f>tablica4!$AM$4</c:f>
              <c:strCache>
                <c:ptCount val="1"/>
                <c:pt idx="0">
                  <c:v>pracownicy przy pracach prostych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tablica4!$AM$5:$AM$21</c:f>
              <c:numCache>
                <c:formatCode>0.0%</c:formatCode>
                <c:ptCount val="17"/>
                <c:pt idx="0">
                  <c:v>9.2144788224692201E-2</c:v>
                </c:pt>
                <c:pt idx="1">
                  <c:v>7.353594997253951E-2</c:v>
                </c:pt>
                <c:pt idx="2">
                  <c:v>8.6020590487535145E-2</c:v>
                </c:pt>
                <c:pt idx="3">
                  <c:v>6.8240277242972672E-2</c:v>
                </c:pt>
                <c:pt idx="4">
                  <c:v>8.6945572898106574E-2</c:v>
                </c:pt>
                <c:pt idx="5">
                  <c:v>8.3071351553010264E-2</c:v>
                </c:pt>
                <c:pt idx="6">
                  <c:v>8.4655160366154669E-2</c:v>
                </c:pt>
                <c:pt idx="7">
                  <c:v>6.1426233294173183E-2</c:v>
                </c:pt>
                <c:pt idx="8">
                  <c:v>7.2919714130480914E-2</c:v>
                </c:pt>
                <c:pt idx="9">
                  <c:v>7.0896842654904382E-2</c:v>
                </c:pt>
                <c:pt idx="10">
                  <c:v>6.8863471767849599E-2</c:v>
                </c:pt>
                <c:pt idx="11">
                  <c:v>7.3044224608031033E-2</c:v>
                </c:pt>
                <c:pt idx="12">
                  <c:v>9.1551260336754745E-2</c:v>
                </c:pt>
                <c:pt idx="13">
                  <c:v>6.7043802570283362E-2</c:v>
                </c:pt>
                <c:pt idx="14">
                  <c:v>7.8505193818089694E-2</c:v>
                </c:pt>
                <c:pt idx="15">
                  <c:v>8.3269458340058597E-2</c:v>
                </c:pt>
                <c:pt idx="16">
                  <c:v>7.6636407923968933E-2</c:v>
                </c:pt>
              </c:numCache>
            </c:numRef>
          </c:val>
        </c:ser>
        <c:ser>
          <c:idx val="9"/>
          <c:order val="9"/>
          <c:tx>
            <c:strRef>
              <c:f>tablica4!$AN$4</c:f>
              <c:strCache>
                <c:ptCount val="1"/>
                <c:pt idx="0">
                  <c:v>pozostałe</c:v>
                </c:pt>
              </c:strCache>
            </c:strRef>
          </c:tx>
          <c:dLbls>
            <c:delete val="1"/>
          </c:dLbls>
          <c:cat>
            <c:strRef>
              <c:f>tablica4!$AD$5:$AD$21</c:f>
              <c:strCache>
                <c:ptCount val="17"/>
                <c:pt idx="0">
                  <c:v>Zachodnio-pomorskie</c:v>
                </c:pt>
                <c:pt idx="1">
                  <c:v>Wielkopolskie</c:v>
                </c:pt>
                <c:pt idx="2">
                  <c:v>Warmińsko-mazurskie</c:v>
                </c:pt>
                <c:pt idx="3">
                  <c:v>Świętokrzyskie</c:v>
                </c:pt>
                <c:pt idx="4">
                  <c:v>Śląskie</c:v>
                </c:pt>
                <c:pt idx="5">
                  <c:v>Pomorskie</c:v>
                </c:pt>
                <c:pt idx="6">
                  <c:v>Podlaskie</c:v>
                </c:pt>
                <c:pt idx="7">
                  <c:v>Podkarpackie</c:v>
                </c:pt>
                <c:pt idx="8">
                  <c:v>Opolskie</c:v>
                </c:pt>
                <c:pt idx="9">
                  <c:v>Mazowieckie</c:v>
                </c:pt>
                <c:pt idx="10">
                  <c:v>Małopolskie</c:v>
                </c:pt>
                <c:pt idx="11">
                  <c:v>Łódzkie</c:v>
                </c:pt>
                <c:pt idx="12">
                  <c:v>Lubuskie</c:v>
                </c:pt>
                <c:pt idx="13">
                  <c:v>Lubelskie</c:v>
                </c:pt>
                <c:pt idx="14">
                  <c:v>Kujawsko-pomorskie</c:v>
                </c:pt>
                <c:pt idx="15">
                  <c:v>Dolnośląskie</c:v>
                </c:pt>
                <c:pt idx="16">
                  <c:v>Polska</c:v>
                </c:pt>
              </c:strCache>
            </c:strRef>
          </c:cat>
          <c:val>
            <c:numRef>
              <c:f>tablica4!$AN$5:$AN$21</c:f>
              <c:numCache>
                <c:formatCode>0.0%</c:formatCode>
                <c:ptCount val="17"/>
                <c:pt idx="0">
                  <c:v>2.4089008018116458E-2</c:v>
                </c:pt>
                <c:pt idx="1">
                  <c:v>1.9393777369664692E-2</c:v>
                </c:pt>
                <c:pt idx="2">
                  <c:v>2.7049186668007416E-2</c:v>
                </c:pt>
                <c:pt idx="3">
                  <c:v>1.0504428186369054E-2</c:v>
                </c:pt>
                <c:pt idx="4">
                  <c:v>1.8257192407288517E-2</c:v>
                </c:pt>
                <c:pt idx="5">
                  <c:v>1.8298536390065581E-2</c:v>
                </c:pt>
                <c:pt idx="6">
                  <c:v>8.9179652015931588E-3</c:v>
                </c:pt>
                <c:pt idx="7">
                  <c:v>1.1376530007731665E-2</c:v>
                </c:pt>
                <c:pt idx="8">
                  <c:v>2.2108914615287991E-2</c:v>
                </c:pt>
                <c:pt idx="9">
                  <c:v>2.1264243436081801E-2</c:v>
                </c:pt>
                <c:pt idx="10">
                  <c:v>1.57674250181058E-2</c:v>
                </c:pt>
                <c:pt idx="11">
                  <c:v>1.8520025748977462E-2</c:v>
                </c:pt>
                <c:pt idx="12">
                  <c:v>1.6419248779515727E-2</c:v>
                </c:pt>
                <c:pt idx="13">
                  <c:v>7.946792254780578E-3</c:v>
                </c:pt>
                <c:pt idx="14">
                  <c:v>2.2204205725868283E-2</c:v>
                </c:pt>
                <c:pt idx="15">
                  <c:v>1.8829675649508066E-2</c:v>
                </c:pt>
                <c:pt idx="16">
                  <c:v>1.7999999999999999E-2</c:v>
                </c:pt>
              </c:numCache>
            </c:numRef>
          </c:val>
        </c:ser>
        <c:dLbls>
          <c:showVal val="1"/>
        </c:dLbls>
        <c:gapWidth val="75"/>
        <c:overlap val="100"/>
        <c:axId val="161666944"/>
        <c:axId val="161668480"/>
      </c:barChart>
      <c:catAx>
        <c:axId val="16166694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1668480"/>
        <c:crosses val="autoZero"/>
        <c:auto val="1"/>
        <c:lblAlgn val="ctr"/>
        <c:lblOffset val="100"/>
      </c:catAx>
      <c:valAx>
        <c:axId val="161668480"/>
        <c:scaling>
          <c:orientation val="minMax"/>
          <c:max val="1"/>
        </c:scaling>
        <c:axPos val="b"/>
        <c:numFmt formatCode="0.0%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1666944"/>
        <c:crosses val="autoZero"/>
        <c:crossBetween val="between"/>
        <c:majorUnit val="0.25"/>
      </c:valAx>
    </c:plotArea>
    <c:legend>
      <c:legendPos val="b"/>
      <c:legendEntry>
        <c:idx val="0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1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2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3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4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5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6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7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8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9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ayout>
        <c:manualLayout>
          <c:xMode val="edge"/>
          <c:yMode val="edge"/>
          <c:x val="2.5600910650599742E-2"/>
          <c:y val="0.75484637348585892"/>
          <c:w val="0.97305565113824433"/>
          <c:h val="0.181915746662310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solidFill>
        <a:schemeClr val="bg1"/>
      </a:solidFill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8.7567777287725412E-2"/>
          <c:y val="3.0417862150792802E-2"/>
          <c:w val="0.90644094100493833"/>
          <c:h val="0.64831211419753099"/>
        </c:manualLayout>
      </c:layout>
      <c:barChart>
        <c:barDir val="col"/>
        <c:grouping val="clustered"/>
        <c:ser>
          <c:idx val="0"/>
          <c:order val="0"/>
          <c:tx>
            <c:strRef>
              <c:f>'wykształcenie kołowy'!$C$49</c:f>
              <c:strCache>
                <c:ptCount val="1"/>
                <c:pt idx="0">
                  <c:v>wyższe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27,9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21,8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35,3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'wykształcenie kołowy'!$B$50:$B$52</c:f>
              <c:strCache>
                <c:ptCount val="3"/>
                <c:pt idx="0">
                  <c:v>Ogółem</c:v>
                </c:pt>
                <c:pt idx="1">
                  <c:v>Mężczyźni</c:v>
                </c:pt>
                <c:pt idx="2">
                  <c:v>Kobiety</c:v>
                </c:pt>
              </c:strCache>
            </c:strRef>
          </c:cat>
          <c:val>
            <c:numRef>
              <c:f>'wykształcenie kołowy'!$C$50:$C$52</c:f>
              <c:numCache>
                <c:formatCode>0.0%</c:formatCode>
                <c:ptCount val="3"/>
                <c:pt idx="0">
                  <c:v>0.27917501985463788</c:v>
                </c:pt>
                <c:pt idx="1">
                  <c:v>0.21830992135885238</c:v>
                </c:pt>
                <c:pt idx="2">
                  <c:v>0.35329962343825017</c:v>
                </c:pt>
              </c:numCache>
            </c:numRef>
          </c:val>
        </c:ser>
        <c:ser>
          <c:idx val="1"/>
          <c:order val="1"/>
          <c:tx>
            <c:strRef>
              <c:f>'wykształcenie kołowy'!$D$49</c:f>
              <c:strCache>
                <c:ptCount val="1"/>
                <c:pt idx="0">
                  <c:v>policealne i średnie zawodowe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26,0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26,2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25,7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'wykształcenie kołowy'!$B$50:$B$52</c:f>
              <c:strCache>
                <c:ptCount val="3"/>
                <c:pt idx="0">
                  <c:v>Ogółem</c:v>
                </c:pt>
                <c:pt idx="1">
                  <c:v>Mężczyźni</c:v>
                </c:pt>
                <c:pt idx="2">
                  <c:v>Kobiety</c:v>
                </c:pt>
              </c:strCache>
            </c:strRef>
          </c:cat>
          <c:val>
            <c:numRef>
              <c:f>'wykształcenie kołowy'!$D$50:$D$52</c:f>
              <c:numCache>
                <c:formatCode>0.0%</c:formatCode>
                <c:ptCount val="3"/>
                <c:pt idx="0">
                  <c:v>0.26004912348915904</c:v>
                </c:pt>
                <c:pt idx="1">
                  <c:v>0.26236096713862284</c:v>
                </c:pt>
                <c:pt idx="2">
                  <c:v>0.25723364305294116</c:v>
                </c:pt>
              </c:numCache>
            </c:numRef>
          </c:val>
        </c:ser>
        <c:ser>
          <c:idx val="2"/>
          <c:order val="2"/>
          <c:tx>
            <c:strRef>
              <c:f>'wykształcenie kołowy'!$E$49</c:f>
              <c:strCache>
                <c:ptCount val="1"/>
                <c:pt idx="0">
                  <c:v>średnie ogólnokształcące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11,6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9,4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14,2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'wykształcenie kołowy'!$B$50:$B$52</c:f>
              <c:strCache>
                <c:ptCount val="3"/>
                <c:pt idx="0">
                  <c:v>Ogółem</c:v>
                </c:pt>
                <c:pt idx="1">
                  <c:v>Mężczyźni</c:v>
                </c:pt>
                <c:pt idx="2">
                  <c:v>Kobiety</c:v>
                </c:pt>
              </c:strCache>
            </c:strRef>
          </c:cat>
          <c:val>
            <c:numRef>
              <c:f>'wykształcenie kołowy'!$E$50:$E$52</c:f>
              <c:numCache>
                <c:formatCode>0.0%</c:formatCode>
                <c:ptCount val="3"/>
                <c:pt idx="0">
                  <c:v>0.11578217831386717</c:v>
                </c:pt>
                <c:pt idx="1">
                  <c:v>9.4058892591607587E-2</c:v>
                </c:pt>
                <c:pt idx="2">
                  <c:v>0.14223789731361192</c:v>
                </c:pt>
              </c:numCache>
            </c:numRef>
          </c:val>
        </c:ser>
        <c:ser>
          <c:idx val="3"/>
          <c:order val="3"/>
          <c:tx>
            <c:strRef>
              <c:f>'wykształcenie kołowy'!$F$49</c:f>
              <c:strCache>
                <c:ptCount val="1"/>
                <c:pt idx="0">
                  <c:v>zasadnicze zawodowe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26,4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33,3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18,0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'wykształcenie kołowy'!$B$50:$B$52</c:f>
              <c:strCache>
                <c:ptCount val="3"/>
                <c:pt idx="0">
                  <c:v>Ogółem</c:v>
                </c:pt>
                <c:pt idx="1">
                  <c:v>Mężczyźni</c:v>
                </c:pt>
                <c:pt idx="2">
                  <c:v>Kobiety</c:v>
                </c:pt>
              </c:strCache>
            </c:strRef>
          </c:cat>
          <c:val>
            <c:numRef>
              <c:f>'wykształcenie kołowy'!$F$50:$F$52</c:f>
              <c:numCache>
                <c:formatCode>0.0%</c:formatCode>
                <c:ptCount val="3"/>
                <c:pt idx="0">
                  <c:v>0.26404104649097337</c:v>
                </c:pt>
                <c:pt idx="1">
                  <c:v>0.33279605561278158</c:v>
                </c:pt>
                <c:pt idx="2">
                  <c:v>0.18030770962806827</c:v>
                </c:pt>
              </c:numCache>
            </c:numRef>
          </c:val>
        </c:ser>
        <c:ser>
          <c:idx val="4"/>
          <c:order val="4"/>
          <c:tx>
            <c:strRef>
              <c:f>'wykształcenie kołowy'!$G$49</c:f>
              <c:strCache>
                <c:ptCount val="1"/>
                <c:pt idx="0">
                  <c:v>gimnazjalne i niższe**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7,9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9,1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6,5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pl-PL"/>
              </a:p>
            </c:txPr>
            <c:showVal val="1"/>
          </c:dLbls>
          <c:cat>
            <c:strRef>
              <c:f>'wykształcenie kołowy'!$B$50:$B$52</c:f>
              <c:strCache>
                <c:ptCount val="3"/>
                <c:pt idx="0">
                  <c:v>Ogółem</c:v>
                </c:pt>
                <c:pt idx="1">
                  <c:v>Mężczyźni</c:v>
                </c:pt>
                <c:pt idx="2">
                  <c:v>Kobiety</c:v>
                </c:pt>
              </c:strCache>
            </c:strRef>
          </c:cat>
          <c:val>
            <c:numRef>
              <c:f>'wykształcenie kołowy'!$G$50:$G$52</c:f>
              <c:numCache>
                <c:formatCode>0.0%</c:formatCode>
                <c:ptCount val="3"/>
                <c:pt idx="0">
                  <c:v>7.9226326639509903E-2</c:v>
                </c:pt>
                <c:pt idx="1">
                  <c:v>9.0801346433053723E-2</c:v>
                </c:pt>
                <c:pt idx="2">
                  <c:v>6.5129827893273026E-2</c:v>
                </c:pt>
              </c:numCache>
            </c:numRef>
          </c:val>
        </c:ser>
        <c:axId val="163921920"/>
        <c:axId val="163923456"/>
      </c:barChart>
      <c:catAx>
        <c:axId val="163921920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63923456"/>
        <c:crosses val="autoZero"/>
        <c:auto val="1"/>
        <c:lblAlgn val="ctr"/>
        <c:lblOffset val="100"/>
      </c:catAx>
      <c:valAx>
        <c:axId val="163923456"/>
        <c:scaling>
          <c:orientation val="minMax"/>
        </c:scaling>
        <c:axPos val="l"/>
        <c:majorGridlines>
          <c:spPr>
            <a:ln>
              <a:gradFill>
                <a:gsLst>
                  <a:gs pos="0">
                    <a:srgbClr val="4F81BD">
                      <a:tint val="66000"/>
                      <a:satMod val="160000"/>
                      <a:alpha val="2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a:ln>
          </c:spPr>
        </c:majorGridlines>
        <c:numFmt formatCode="0.0%" sourceLinked="1"/>
        <c:tickLblPos val="nextTo"/>
        <c:spPr>
          <a:ln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a:ln>
        </c:spPr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  <c:crossAx val="163921920"/>
        <c:crosses val="autoZero"/>
        <c:crossBetween val="between"/>
        <c:majorUnit val="0.1"/>
      </c:valAx>
    </c:plotArea>
    <c:legend>
      <c:legendPos val="r"/>
      <c:layout>
        <c:manualLayout>
          <c:xMode val="edge"/>
          <c:yMode val="edge"/>
          <c:x val="3.0059180459042552E-2"/>
          <c:y val="0.77031360076482314"/>
          <c:w val="0.93701397402201536"/>
          <c:h val="0.15529976851851851"/>
        </c:manualLayout>
      </c:layout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pl-PL"/>
        </a:p>
      </c:txPr>
    </c:legend>
    <c:plotVisOnly val="1"/>
  </c:chart>
  <c:spPr>
    <a:ln>
      <a:solidFill>
        <a:schemeClr val="bg1"/>
      </a:solidFill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9708E-0D47-4486-A23F-D332E1AC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19</Pages>
  <Words>4587</Words>
  <Characters>27527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SaroskaM</dc:creator>
  <cp:keywords/>
  <dc:description/>
  <cp:lastModifiedBy>Brzezińska Beata</cp:lastModifiedBy>
  <cp:revision>36</cp:revision>
  <dcterms:created xsi:type="dcterms:W3CDTF">2014-05-28T09:01:00Z</dcterms:created>
  <dcterms:modified xsi:type="dcterms:W3CDTF">2014-07-24T09:05:00Z</dcterms:modified>
</cp:coreProperties>
</file>